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6E" w:rsidRDefault="00466A6E">
      <w:pPr>
        <w:spacing w:after="0"/>
        <w:ind w:left="35"/>
      </w:pPr>
      <w:bookmarkStart w:id="0" w:name="_GoBack"/>
      <w:bookmarkEnd w:id="0"/>
      <w:r>
        <w:rPr>
          <w:b/>
          <w:sz w:val="16"/>
        </w:rPr>
        <w:t>Jednostka: P26/SR</w:t>
      </w:r>
    </w:p>
    <w:tbl>
      <w:tblPr>
        <w:tblStyle w:val="TableGrid"/>
        <w:tblW w:w="11197" w:type="dxa"/>
        <w:tblInd w:w="0" w:type="dxa"/>
        <w:tblCellMar>
          <w:top w:w="24" w:type="dxa"/>
          <w:left w:w="35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216"/>
        <w:gridCol w:w="2398"/>
        <w:gridCol w:w="992"/>
        <w:gridCol w:w="375"/>
        <w:gridCol w:w="621"/>
        <w:gridCol w:w="996"/>
        <w:gridCol w:w="1458"/>
        <w:gridCol w:w="351"/>
        <w:gridCol w:w="1832"/>
        <w:gridCol w:w="996"/>
        <w:gridCol w:w="962"/>
      </w:tblGrid>
      <w:tr w:rsidR="00A81C6E">
        <w:trPr>
          <w:trHeight w:val="232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3"/>
              </w:rPr>
              <w:t>Nazwa i adres jednostki sprawozdawczej</w:t>
            </w:r>
          </w:p>
        </w:tc>
        <w:tc>
          <w:tcPr>
            <w:tcW w:w="380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left="80"/>
              <w:jc w:val="center"/>
            </w:pPr>
            <w:r>
              <w:rPr>
                <w:b/>
                <w:sz w:val="17"/>
              </w:rPr>
              <w:t>Bilans</w:t>
            </w:r>
          </w:p>
        </w:tc>
        <w:tc>
          <w:tcPr>
            <w:tcW w:w="379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3"/>
              </w:rPr>
              <w:t>Adresat</w:t>
            </w:r>
          </w:p>
        </w:tc>
      </w:tr>
      <w:tr w:rsidR="00A81C6E">
        <w:trPr>
          <w:trHeight w:val="196"/>
        </w:trPr>
        <w:tc>
          <w:tcPr>
            <w:tcW w:w="360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1"/>
              </w:rPr>
              <w:t>Przedszkole nr 26</w:t>
            </w:r>
          </w:p>
        </w:tc>
        <w:tc>
          <w:tcPr>
            <w:tcW w:w="38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left="80"/>
              <w:jc w:val="center"/>
            </w:pPr>
            <w:r>
              <w:rPr>
                <w:sz w:val="13"/>
              </w:rPr>
              <w:t>jednostki budżetowej</w:t>
            </w:r>
          </w:p>
        </w:tc>
        <w:tc>
          <w:tcPr>
            <w:tcW w:w="379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1"/>
              </w:rPr>
              <w:t>Urząd Dzielnicy Śródmieście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1"/>
              </w:rPr>
              <w:t>ul. Nowowiejska 1/3</w:t>
            </w:r>
          </w:p>
        </w:tc>
        <w:tc>
          <w:tcPr>
            <w:tcW w:w="38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left="80"/>
              <w:jc w:val="center"/>
            </w:pPr>
            <w:r>
              <w:rPr>
                <w:sz w:val="13"/>
              </w:rPr>
              <w:t>i samorządowego zakładu</w:t>
            </w:r>
          </w:p>
        </w:tc>
        <w:tc>
          <w:tcPr>
            <w:tcW w:w="379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E3F3"/>
          </w:tcPr>
          <w:p w:rsidR="00A81C6E" w:rsidRDefault="00A81C6E"/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1"/>
              </w:rPr>
              <w:t>00-643 Warszawa</w:t>
            </w:r>
          </w:p>
        </w:tc>
        <w:tc>
          <w:tcPr>
            <w:tcW w:w="3801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left="80"/>
              <w:jc w:val="center"/>
            </w:pPr>
            <w:r>
              <w:rPr>
                <w:sz w:val="13"/>
              </w:rPr>
              <w:t>budżetowego</w:t>
            </w:r>
          </w:p>
        </w:tc>
        <w:tc>
          <w:tcPr>
            <w:tcW w:w="379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2"/>
              </w:rPr>
              <w:t xml:space="preserve"> </w:t>
            </w:r>
          </w:p>
        </w:tc>
      </w:tr>
      <w:tr w:rsidR="00A81C6E">
        <w:trPr>
          <w:trHeight w:val="201"/>
        </w:trPr>
        <w:tc>
          <w:tcPr>
            <w:tcW w:w="360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1"/>
              </w:rPr>
              <w:t>tel. 228251555</w:t>
            </w:r>
          </w:p>
        </w:tc>
        <w:tc>
          <w:tcPr>
            <w:tcW w:w="3801" w:type="dxa"/>
            <w:gridSpan w:val="5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left="1344" w:right="1264"/>
              <w:jc w:val="center"/>
            </w:pPr>
            <w:r>
              <w:rPr>
                <w:sz w:val="13"/>
              </w:rPr>
              <w:t xml:space="preserve">sporządzony na dzień </w:t>
            </w:r>
            <w:r>
              <w:rPr>
                <w:sz w:val="13"/>
              </w:rPr>
              <w:t>31.12.2020</w:t>
            </w:r>
          </w:p>
        </w:tc>
        <w:tc>
          <w:tcPr>
            <w:tcW w:w="3790" w:type="dxa"/>
            <w:gridSpan w:val="3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254"/>
            </w:pPr>
            <w:r>
              <w:rPr>
                <w:sz w:val="12"/>
              </w:rPr>
              <w:t xml:space="preserve"> </w:t>
            </w:r>
          </w:p>
          <w:p w:rsidR="00A81C6E" w:rsidRDefault="00466A6E">
            <w:pPr>
              <w:spacing w:after="0"/>
            </w:pPr>
            <w:r>
              <w:rPr>
                <w:sz w:val="12"/>
              </w:rPr>
              <w:t xml:space="preserve"> </w:t>
            </w:r>
          </w:p>
        </w:tc>
      </w:tr>
      <w:tr w:rsidR="00A81C6E">
        <w:trPr>
          <w:trHeight w:val="412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37"/>
            </w:pPr>
            <w:r>
              <w:rPr>
                <w:sz w:val="13"/>
              </w:rPr>
              <w:t>Numer indentyfikacyjny REGON</w:t>
            </w:r>
          </w:p>
          <w:p w:rsidR="00A81C6E" w:rsidRDefault="00466A6E">
            <w:pPr>
              <w:spacing w:after="0"/>
            </w:pPr>
            <w:r>
              <w:rPr>
                <w:sz w:val="11"/>
              </w:rPr>
              <w:t>013004255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</w:tr>
      <w:tr w:rsidR="00A81C6E">
        <w:trPr>
          <w:trHeight w:val="330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left="5"/>
              <w:jc w:val="center"/>
            </w:pPr>
            <w:r>
              <w:rPr>
                <w:b/>
                <w:sz w:val="14"/>
              </w:rPr>
              <w:t>Aktywa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jc w:val="center"/>
            </w:pPr>
            <w:r>
              <w:rPr>
                <w:sz w:val="13"/>
              </w:rPr>
              <w:t>Stan na początek roku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left="328" w:hanging="258"/>
            </w:pPr>
            <w:r>
              <w:rPr>
                <w:sz w:val="13"/>
              </w:rPr>
              <w:t>Stan na koniec roku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left="39"/>
              <w:jc w:val="center"/>
            </w:pPr>
            <w:r>
              <w:rPr>
                <w:b/>
                <w:sz w:val="14"/>
              </w:rPr>
              <w:t>Pasywa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jc w:val="center"/>
            </w:pPr>
            <w:r>
              <w:rPr>
                <w:sz w:val="13"/>
              </w:rPr>
              <w:t>Stan na początek roku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jc w:val="center"/>
            </w:pPr>
            <w:r>
              <w:rPr>
                <w:sz w:val="13"/>
              </w:rPr>
              <w:t>Stan na koniec roku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1C6E" w:rsidRDefault="00466A6E">
            <w:pPr>
              <w:spacing w:after="0"/>
            </w:pPr>
            <w:r>
              <w:rPr>
                <w:b/>
                <w:sz w:val="13"/>
              </w:rPr>
              <w:t>A. Aktywa trwałe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13 407,00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FFFFFF"/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b/>
                <w:sz w:val="13"/>
              </w:rPr>
              <w:t>3 735,00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1C6E" w:rsidRDefault="00466A6E">
            <w:pPr>
              <w:spacing w:after="0"/>
              <w:ind w:left="34"/>
            </w:pPr>
            <w:r>
              <w:rPr>
                <w:b/>
                <w:sz w:val="13"/>
              </w:rPr>
              <w:t>A. Fundusze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-67 352,79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-71 457,73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57"/>
            </w:pPr>
            <w:r>
              <w:rPr>
                <w:b/>
                <w:sz w:val="13"/>
              </w:rPr>
              <w:t xml:space="preserve">I. Wartości niematerialne i </w:t>
            </w:r>
            <w:r>
              <w:rPr>
                <w:b/>
                <w:sz w:val="13"/>
              </w:rPr>
              <w:t>prawne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92"/>
            </w:pPr>
            <w:r>
              <w:rPr>
                <w:b/>
                <w:sz w:val="13"/>
              </w:rPr>
              <w:t>I. Fundusz jednostki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1 324 909,10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1 227 194,63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57"/>
            </w:pPr>
            <w:r>
              <w:rPr>
                <w:b/>
                <w:sz w:val="13"/>
              </w:rPr>
              <w:t>II. Rzeczowe aktywa trwałe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13 407,00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b/>
                <w:sz w:val="13"/>
              </w:rPr>
              <w:t>3 735,00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92"/>
            </w:pPr>
            <w:r>
              <w:rPr>
                <w:b/>
                <w:sz w:val="13"/>
              </w:rPr>
              <w:t>II. Wynik finansowy netto (+,-)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-1 391 767,81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-1 297 353,05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>1. Środki trwałe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13 407,00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3 735,00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1. Zysk netto (+)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72"/>
            </w:pPr>
            <w:r>
              <w:rPr>
                <w:sz w:val="13"/>
              </w:rPr>
              <w:t>1.1. Grunty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2. Strata netto (-)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-1 391 767,81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-1 297 353,05</w:t>
            </w:r>
          </w:p>
        </w:tc>
      </w:tr>
      <w:tr w:rsidR="00A81C6E">
        <w:trPr>
          <w:trHeight w:val="495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72"/>
            </w:pPr>
            <w:r>
              <w:rPr>
                <w:sz w:val="13"/>
              </w:rPr>
              <w:t>1.1.1. Grunty stanowiące własność jednostki samorządu terytorialnego, przekazane w użytkowanie wieczyste innym podmiotom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92"/>
            </w:pPr>
            <w:r>
              <w:rPr>
                <w:b/>
                <w:sz w:val="13"/>
              </w:rPr>
              <w:t>III. Odpisy z wyniku finansowego (nadwyżka środków obrotowych) (-)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-494,08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-1 299,31</w:t>
            </w:r>
          </w:p>
        </w:tc>
      </w:tr>
      <w:tr w:rsidR="00A81C6E">
        <w:trPr>
          <w:trHeight w:val="330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72"/>
            </w:pPr>
            <w:r>
              <w:rPr>
                <w:sz w:val="13"/>
              </w:rPr>
              <w:t>1.2. Budynki, lokale i obiekty inżynierii lądowej i wodnej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92"/>
            </w:pPr>
            <w:r>
              <w:rPr>
                <w:b/>
                <w:sz w:val="13"/>
              </w:rPr>
              <w:t>IV. Fundusz mienia zlikwidowanych jednostek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72"/>
            </w:pPr>
            <w:r>
              <w:rPr>
                <w:sz w:val="13"/>
              </w:rPr>
              <w:t>1.3. Urządzenia techniczne i maszyny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6 784,68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2 861,20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b/>
                <w:sz w:val="13"/>
              </w:rPr>
              <w:t>B. Fundusze placówek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72"/>
            </w:pPr>
            <w:r>
              <w:rPr>
                <w:sz w:val="13"/>
              </w:rPr>
              <w:t>1.4. Środki transportu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b/>
                <w:sz w:val="13"/>
              </w:rPr>
              <w:t>C. Państwowe fundusze celowe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72"/>
            </w:pPr>
            <w:r>
              <w:rPr>
                <w:sz w:val="13"/>
              </w:rPr>
              <w:t>1.5. Inne środki trwałe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6 622,32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873,80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b/>
                <w:sz w:val="13"/>
              </w:rPr>
              <w:t>D. Zobowiązania i rezerwy na zobowiązania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97 657,25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94 309,47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>2. Środki trwałe w budowie (inwestycje)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92"/>
            </w:pPr>
            <w:r>
              <w:rPr>
                <w:b/>
                <w:sz w:val="13"/>
              </w:rPr>
              <w:t>I. Zobowiązania długoterminowe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>3. Zaliczki</w:t>
            </w:r>
            <w:r>
              <w:rPr>
                <w:sz w:val="13"/>
              </w:rPr>
              <w:t xml:space="preserve"> na środki trwałe w budowie (inwestycje)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92"/>
            </w:pPr>
            <w:r>
              <w:rPr>
                <w:b/>
                <w:sz w:val="13"/>
              </w:rPr>
              <w:t>II. Zobowiązania krótkoterminowe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97 657,25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94 309,47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57"/>
            </w:pPr>
            <w:r>
              <w:rPr>
                <w:b/>
                <w:sz w:val="13"/>
              </w:rPr>
              <w:t>III. Należności długoterminowe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1. Zobowiązania z tytułu dostaw i usług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1 242,56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1 099,62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57"/>
            </w:pPr>
            <w:r>
              <w:rPr>
                <w:b/>
                <w:sz w:val="13"/>
              </w:rPr>
              <w:t>IV. Długoterminowe aktywa finansowe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2. </w:t>
            </w:r>
            <w:r>
              <w:rPr>
                <w:sz w:val="13"/>
              </w:rPr>
              <w:t>Zobowiązania wobec budżetów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10 014,08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9 357,31</w:t>
            </w:r>
          </w:p>
        </w:tc>
      </w:tr>
      <w:tr w:rsidR="00A81C6E">
        <w:trPr>
          <w:trHeight w:val="330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>1. Akcje i udziały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3. Zobowiązania z tytułu ubezpieczeń i innych świadczeń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41 700,49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34 064,75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>2. Inne papiery wartościowe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4. Zobowiązania z tytułu wynagrodzeń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39 482,79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42 002,79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 xml:space="preserve">3. </w:t>
            </w:r>
            <w:r>
              <w:rPr>
                <w:sz w:val="13"/>
              </w:rPr>
              <w:t>Inne długoterminowe aktywa finansowe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5. Pozostałe zobowiązania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5 217,33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7 785,00</w:t>
            </w:r>
          </w:p>
        </w:tc>
      </w:tr>
      <w:tr w:rsidR="00A81C6E">
        <w:trPr>
          <w:trHeight w:val="330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57"/>
            </w:pPr>
            <w:r>
              <w:rPr>
                <w:b/>
                <w:sz w:val="13"/>
              </w:rPr>
              <w:t>V. Wartość mienia zlikwidowanych jednostek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6. Sumy obce (depozytowe, zabezpieczenie wykonania umów)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</w:tr>
      <w:tr w:rsidR="00A81C6E">
        <w:trPr>
          <w:trHeight w:val="330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b/>
                <w:sz w:val="13"/>
              </w:rPr>
              <w:t>B. Aktywa obrotowe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16 897,46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b/>
                <w:sz w:val="13"/>
              </w:rPr>
              <w:t>19 116,74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right="14"/>
              <w:jc w:val="center"/>
            </w:pPr>
            <w:r>
              <w:rPr>
                <w:sz w:val="13"/>
              </w:rPr>
              <w:t>7.</w:t>
            </w:r>
            <w:r>
              <w:rPr>
                <w:sz w:val="13"/>
              </w:rPr>
              <w:t xml:space="preserve"> Rozliczenia z tytułu środków na wydatki budżetowe i z tytułu</w:t>
            </w:r>
          </w:p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</w:t>
            </w:r>
          </w:p>
          <w:p w:rsidR="00A81C6E" w:rsidRDefault="00466A6E">
            <w:pPr>
              <w:spacing w:after="0"/>
              <w:ind w:left="149"/>
            </w:pPr>
            <w:r>
              <w:rPr>
                <w:sz w:val="13"/>
              </w:rPr>
              <w:t>dochodów budżetowych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57"/>
            </w:pPr>
            <w:r>
              <w:rPr>
                <w:b/>
                <w:sz w:val="13"/>
              </w:rPr>
              <w:t>I. Zapasy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16 243,88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b/>
                <w:sz w:val="13"/>
              </w:rPr>
              <w:t>17 749,63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8. Fundusze specjalne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>1. Materiały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16 243,88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17 749,63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tabs>
                <w:tab w:val="center" w:pos="1392"/>
              </w:tabs>
              <w:spacing w:after="0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>8.1. Zakładowy Fundusz Świadczeń Socjalnych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 xml:space="preserve">2. </w:t>
            </w:r>
            <w:r>
              <w:rPr>
                <w:sz w:val="13"/>
              </w:rPr>
              <w:t>Półprodukty i produkty w toku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tabs>
                <w:tab w:val="center" w:pos="681"/>
              </w:tabs>
              <w:spacing w:after="0"/>
            </w:pPr>
            <w:r>
              <w:rPr>
                <w:sz w:val="13"/>
              </w:rPr>
              <w:t xml:space="preserve"> </w:t>
            </w:r>
            <w:r>
              <w:rPr>
                <w:sz w:val="13"/>
              </w:rPr>
              <w:tab/>
              <w:t>8.2. Inne fundusze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>3. Produkty gotowe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92"/>
            </w:pPr>
            <w:r>
              <w:rPr>
                <w:b/>
                <w:sz w:val="13"/>
              </w:rPr>
              <w:t>III. Rezerwy na zobowiązania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>4. Towary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92"/>
            </w:pPr>
            <w:r>
              <w:rPr>
                <w:b/>
                <w:sz w:val="13"/>
              </w:rPr>
              <w:t>IV. Rozliczenia międzyokresowe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57"/>
            </w:pPr>
            <w:r>
              <w:rPr>
                <w:b/>
                <w:sz w:val="13"/>
              </w:rPr>
              <w:t>II. Należności krótkoterminowe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159,50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b/>
                <w:sz w:val="13"/>
              </w:rPr>
              <w:t>67,80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 xml:space="preserve">1. </w:t>
            </w:r>
            <w:r>
              <w:rPr>
                <w:sz w:val="13"/>
              </w:rPr>
              <w:t>Należności z tytułu dostaw i usług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>2. Należności od budżetów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45,80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>3. Należności z tytułu ubezpieczeń i innych świadczeń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>4. Pozostałe należności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159,50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22,00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</w:tr>
      <w:tr w:rsidR="00A81C6E">
        <w:trPr>
          <w:trHeight w:val="330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 xml:space="preserve">5. Rozliczenia z tytułu środków na wydatki budżetowe </w:t>
            </w:r>
            <w:r>
              <w:rPr>
                <w:sz w:val="13"/>
              </w:rPr>
              <w:t>i z tytułu dochodów budżetowych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57"/>
            </w:pPr>
            <w:r>
              <w:rPr>
                <w:b/>
                <w:sz w:val="13"/>
              </w:rPr>
              <w:t>III. Krótkoterminowe aktywa finansowe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494,08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b/>
                <w:sz w:val="13"/>
              </w:rPr>
              <w:t>1 299,31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>1. Środki pieniężne w kasie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>2. Środki pieniężne na rachunkach bankowych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494,08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1 299,31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 xml:space="preserve">3. Środki pieniężne państwowego funduszu </w:t>
            </w:r>
            <w:r>
              <w:rPr>
                <w:sz w:val="13"/>
              </w:rPr>
              <w:t>celowego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lastRenderedPageBreak/>
              <w:t>4. Inne środki pieniężne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>5. Akcje lub udziały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>6. Inne papiery wartościowe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114"/>
            </w:pPr>
            <w:r>
              <w:rPr>
                <w:sz w:val="13"/>
              </w:rPr>
              <w:t>7. Inne krótkoterminowe aktywa finansowe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57"/>
            </w:pPr>
            <w:r>
              <w:rPr>
                <w:b/>
                <w:sz w:val="13"/>
              </w:rPr>
              <w:t>IV. Rozliczenia międzyokresowe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466A6E">
            <w:pPr>
              <w:spacing w:after="0"/>
              <w:ind w:left="34"/>
            </w:pPr>
            <w:r>
              <w:rPr>
                <w:sz w:val="13"/>
              </w:rPr>
              <w:t xml:space="preserve"> 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C6E" w:rsidRDefault="00A81C6E"/>
        </w:tc>
      </w:tr>
      <w:tr w:rsidR="00A81C6E">
        <w:trPr>
          <w:trHeight w:val="206"/>
        </w:trPr>
        <w:tc>
          <w:tcPr>
            <w:tcW w:w="36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b/>
                <w:sz w:val="13"/>
              </w:rPr>
              <w:t xml:space="preserve">Suma </w:t>
            </w:r>
            <w:r>
              <w:rPr>
                <w:b/>
                <w:sz w:val="13"/>
              </w:rPr>
              <w:t>aktywów</w:t>
            </w:r>
          </w:p>
        </w:tc>
        <w:tc>
          <w:tcPr>
            <w:tcW w:w="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30 304,46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right="34"/>
              <w:jc w:val="right"/>
            </w:pPr>
            <w:r>
              <w:rPr>
                <w:b/>
                <w:sz w:val="13"/>
              </w:rPr>
              <w:t>22 851,74</w:t>
            </w:r>
          </w:p>
        </w:tc>
        <w:tc>
          <w:tcPr>
            <w:tcW w:w="3641" w:type="dxa"/>
            <w:gridSpan w:val="3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left="34"/>
            </w:pPr>
            <w:r>
              <w:rPr>
                <w:b/>
                <w:sz w:val="13"/>
              </w:rPr>
              <w:t>Suma pasywów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30 304,46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3"/>
              </w:rPr>
              <w:t>22 851,74</w:t>
            </w:r>
          </w:p>
        </w:tc>
      </w:tr>
      <w:tr w:rsidR="00A81C6E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4"/>
          <w:wBefore w:w="216" w:type="dxa"/>
          <w:wAfter w:w="4141" w:type="dxa"/>
          <w:trHeight w:val="45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sz w:val="13"/>
              </w:rPr>
              <w:t>.............................................</w:t>
            </w:r>
          </w:p>
          <w:p w:rsidR="00A81C6E" w:rsidRDefault="00466A6E">
            <w:pPr>
              <w:spacing w:after="0"/>
              <w:ind w:left="273"/>
            </w:pPr>
            <w:r>
              <w:rPr>
                <w:sz w:val="13"/>
              </w:rPr>
              <w:t>Główny księgowy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C6E" w:rsidRDefault="00466A6E">
            <w:pPr>
              <w:spacing w:after="0"/>
              <w:ind w:left="336"/>
            </w:pPr>
            <w:r>
              <w:rPr>
                <w:sz w:val="13"/>
              </w:rPr>
              <w:t>2021.03.23</w:t>
            </w:r>
          </w:p>
          <w:p w:rsidR="00A81C6E" w:rsidRDefault="00466A6E">
            <w:pPr>
              <w:spacing w:after="0"/>
              <w:ind w:left="149" w:hanging="149"/>
            </w:pPr>
            <w:r>
              <w:rPr>
                <w:sz w:val="13"/>
              </w:rPr>
              <w:t>....................................... rok, miesiąc, dzień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C6E" w:rsidRDefault="00466A6E">
            <w:pPr>
              <w:spacing w:after="0"/>
              <w:jc w:val="right"/>
            </w:pPr>
            <w:r>
              <w:rPr>
                <w:sz w:val="13"/>
              </w:rPr>
              <w:t>..................................................................</w:t>
            </w:r>
          </w:p>
          <w:p w:rsidR="00A81C6E" w:rsidRDefault="00466A6E">
            <w:pPr>
              <w:spacing w:after="0"/>
              <w:ind w:left="1496"/>
            </w:pPr>
            <w:r>
              <w:rPr>
                <w:sz w:val="13"/>
              </w:rPr>
              <w:t xml:space="preserve"> Kierownik jednostki</w:t>
            </w:r>
          </w:p>
        </w:tc>
      </w:tr>
    </w:tbl>
    <w:p w:rsidR="00A81C6E" w:rsidRDefault="00466A6E">
      <w:pPr>
        <w:spacing w:after="306"/>
        <w:ind w:left="127"/>
        <w:jc w:val="center"/>
      </w:pPr>
      <w:r>
        <w:rPr>
          <w:sz w:val="11"/>
        </w:rPr>
        <w:t>Strona 1 z 1</w:t>
      </w:r>
    </w:p>
    <w:p w:rsidR="00A81C6E" w:rsidRDefault="00466A6E">
      <w:pPr>
        <w:spacing w:after="0"/>
      </w:pPr>
      <w:r>
        <w:rPr>
          <w:sz w:val="11"/>
        </w:rPr>
        <w:t>Finanse VULCAN wersja 21.03.0009.29329, VULCAN sp. z o.o., licencja: warszawasrodmiescie, Finanse VULCAN lic. 010860, Dzielnicowe Biuro Finansów Oświaty</w:t>
      </w:r>
      <w:r>
        <w:rPr>
          <w:sz w:val="11"/>
        </w:rPr>
        <w:t xml:space="preserve"> - Śródmieście m. st. Warszawy, 00-375 Warszawa, Smolna 10A</w:t>
      </w:r>
    </w:p>
    <w:p w:rsidR="00A81C6E" w:rsidRDefault="00466A6E">
      <w:pPr>
        <w:pStyle w:val="Nagwek1"/>
        <w:spacing w:after="0" w:line="259" w:lineRule="auto"/>
        <w:ind w:left="32"/>
      </w:pPr>
      <w:r>
        <w:rPr>
          <w:rFonts w:ascii="Calibri" w:eastAsia="Calibri" w:hAnsi="Calibri" w:cs="Calibri"/>
          <w:sz w:val="18"/>
        </w:rPr>
        <w:t>Jednostka: P26/SR</w:t>
      </w:r>
    </w:p>
    <w:tbl>
      <w:tblPr>
        <w:tblStyle w:val="TableGrid"/>
        <w:tblW w:w="11142" w:type="dxa"/>
        <w:tblInd w:w="0" w:type="dxa"/>
        <w:tblCellMar>
          <w:top w:w="21" w:type="dxa"/>
          <w:left w:w="37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3775"/>
        <w:gridCol w:w="3579"/>
        <w:gridCol w:w="1894"/>
        <w:gridCol w:w="1894"/>
      </w:tblGrid>
      <w:tr w:rsidR="00A81C6E">
        <w:trPr>
          <w:trHeight w:val="243"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Nazwa i adres jednostki sprawozdawczej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A81C6E"/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Adresat</w:t>
            </w:r>
          </w:p>
        </w:tc>
      </w:tr>
      <w:tr w:rsidR="00A81C6E">
        <w:trPr>
          <w:trHeight w:val="268"/>
        </w:trPr>
        <w:tc>
          <w:tcPr>
            <w:tcW w:w="3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3"/>
              </w:rPr>
              <w:t>Przedszkole nr 26</w:t>
            </w:r>
          </w:p>
        </w:tc>
        <w:tc>
          <w:tcPr>
            <w:tcW w:w="35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left="78"/>
              <w:jc w:val="center"/>
            </w:pPr>
            <w:r>
              <w:rPr>
                <w:b/>
                <w:sz w:val="19"/>
              </w:rPr>
              <w:t>Rachunek zysków i strat</w:t>
            </w:r>
          </w:p>
        </w:tc>
        <w:tc>
          <w:tcPr>
            <w:tcW w:w="37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3"/>
              </w:rPr>
              <w:t>Urząd Dzielnicy Śródmieście</w:t>
            </w:r>
          </w:p>
        </w:tc>
      </w:tr>
      <w:tr w:rsidR="00A81C6E">
        <w:trPr>
          <w:trHeight w:val="223"/>
        </w:trPr>
        <w:tc>
          <w:tcPr>
            <w:tcW w:w="3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3"/>
              </w:rPr>
              <w:t>ul. Nowowiejska 1/3</w:t>
            </w:r>
          </w:p>
        </w:tc>
        <w:tc>
          <w:tcPr>
            <w:tcW w:w="35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left="78"/>
              <w:jc w:val="center"/>
            </w:pPr>
            <w:r>
              <w:rPr>
                <w:sz w:val="15"/>
              </w:rPr>
              <w:t>sporządzony</w:t>
            </w:r>
          </w:p>
        </w:tc>
        <w:tc>
          <w:tcPr>
            <w:tcW w:w="37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A81C6E"/>
        </w:tc>
      </w:tr>
      <w:tr w:rsidR="00A81C6E">
        <w:trPr>
          <w:trHeight w:val="235"/>
        </w:trPr>
        <w:tc>
          <w:tcPr>
            <w:tcW w:w="3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3"/>
              </w:rPr>
              <w:t>00-643 Warszawa</w:t>
            </w:r>
          </w:p>
        </w:tc>
        <w:tc>
          <w:tcPr>
            <w:tcW w:w="35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left="78"/>
              <w:jc w:val="center"/>
            </w:pPr>
            <w:r>
              <w:rPr>
                <w:sz w:val="15"/>
              </w:rPr>
              <w:t>na dzień</w:t>
            </w:r>
            <w:r>
              <w:rPr>
                <w:sz w:val="15"/>
              </w:rPr>
              <w:t xml:space="preserve"> 31.12.2020</w:t>
            </w:r>
          </w:p>
        </w:tc>
        <w:tc>
          <w:tcPr>
            <w:tcW w:w="37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A81C6E"/>
        </w:tc>
      </w:tr>
      <w:tr w:rsidR="00A81C6E">
        <w:trPr>
          <w:trHeight w:val="230"/>
        </w:trPr>
        <w:tc>
          <w:tcPr>
            <w:tcW w:w="3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3"/>
              </w:rPr>
              <w:t>tel. 228251555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left="78"/>
              <w:jc w:val="center"/>
            </w:pPr>
            <w:r>
              <w:rPr>
                <w:sz w:val="15"/>
              </w:rPr>
              <w:t>Wariant porównawczy</w:t>
            </w:r>
          </w:p>
        </w:tc>
        <w:tc>
          <w:tcPr>
            <w:tcW w:w="378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290"/>
            </w:pPr>
            <w:r>
              <w:rPr>
                <w:sz w:val="14"/>
              </w:rPr>
              <w:t xml:space="preserve"> </w:t>
            </w:r>
          </w:p>
          <w:p w:rsidR="00A81C6E" w:rsidRDefault="00466A6E">
            <w:pPr>
              <w:spacing w:after="0"/>
            </w:pPr>
            <w:r>
              <w:rPr>
                <w:sz w:val="14"/>
              </w:rPr>
              <w:t xml:space="preserve"> </w:t>
            </w:r>
          </w:p>
        </w:tc>
      </w:tr>
      <w:tr w:rsidR="00A81C6E">
        <w:trPr>
          <w:trHeight w:val="470"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41"/>
            </w:pPr>
            <w:r>
              <w:rPr>
                <w:sz w:val="15"/>
              </w:rPr>
              <w:t>Numer indentyfikacyjny REGON</w:t>
            </w:r>
          </w:p>
          <w:p w:rsidR="00A81C6E" w:rsidRDefault="00466A6E">
            <w:pPr>
              <w:spacing w:after="0"/>
            </w:pPr>
            <w:r>
              <w:rPr>
                <w:sz w:val="13"/>
              </w:rPr>
              <w:t>013004255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</w:tr>
      <w:tr w:rsidR="00A81C6E">
        <w:trPr>
          <w:trHeight w:val="400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3F3"/>
          </w:tcPr>
          <w:p w:rsidR="00A81C6E" w:rsidRDefault="00A81C6E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jc w:val="center"/>
            </w:pPr>
            <w:r>
              <w:rPr>
                <w:sz w:val="16"/>
              </w:rPr>
              <w:t>Stan na koniec roku poprzedniego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jc w:val="center"/>
            </w:pPr>
            <w:r>
              <w:rPr>
                <w:sz w:val="16"/>
              </w:rPr>
              <w:t>Stan na koniec roku bieżącego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C6E" w:rsidRDefault="00466A6E">
            <w:pPr>
              <w:spacing w:after="0"/>
            </w:pPr>
            <w:r>
              <w:rPr>
                <w:b/>
                <w:sz w:val="15"/>
              </w:rPr>
              <w:t>A. Przychody netto z podstawowej działalności operacyjnej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109 913,96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72 271,80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 xml:space="preserve">I. Przychody </w:t>
            </w:r>
            <w:r>
              <w:rPr>
                <w:sz w:val="15"/>
              </w:rPr>
              <w:t>netto ze sprzedaży produktów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109 745,14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72 271,80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II. Zmiana stanu produktów (zwiększenie - wartość dodatnia, zmniejszenie - wartość ujemna)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III. Koszt wytworzenia produktów na własne potrzeby jednostki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 xml:space="preserve">IV. Przychody netto ze </w:t>
            </w:r>
            <w:r>
              <w:rPr>
                <w:sz w:val="15"/>
              </w:rPr>
              <w:t>sprzedaży towarów i materiałów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V. Dotacje na finansowanie działalności podstawowej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VI. Przychody z tytułu dochodów budżetowych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168,82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b/>
                <w:sz w:val="15"/>
              </w:rPr>
              <w:t>B. Koszty działalności operacyjnej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1 502 733,10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1 406 686,82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I. Amortyzacja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9 672,00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9 672,00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II. Zużycie materiałów i energii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210 822,49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178 009,18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III. Usługi obce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168 770,43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124 952,86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IV. Podatki i opłaty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3 090,00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1 750,40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V. Wynagrodzenia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862 651,70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824 433,80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VI. Ubezpieczenia społeczne i inne świadczenia dla pracowników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246 447,72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 xml:space="preserve">265 </w:t>
            </w:r>
            <w:r>
              <w:rPr>
                <w:sz w:val="15"/>
              </w:rPr>
              <w:t>588,64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VII. Pozostałe koszty rodzajowe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1 278,76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2 279,94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VIII. Wartość sprzedanych towarów i materiałów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IX. Inne świadczenia finansowane z budżetu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X. Pozostałe obciążenia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b/>
                <w:sz w:val="15"/>
              </w:rPr>
              <w:t>C. Zysk (strata) z działalności podstawowej (A-B)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-1 392 819,14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-1 334 415,02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b/>
                <w:sz w:val="15"/>
              </w:rPr>
              <w:t>D. Pozostałe przychody operacyjne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1 044,00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37 050,63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I. Zysk ze zbycia niefinansowych aktywów trwałych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II. Dotacje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III. Inne przychody operacyjne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1 044,00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37 050,63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b/>
                <w:sz w:val="15"/>
              </w:rPr>
              <w:t>E. Pozostałe koszty operacyjne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20,63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0,00</w:t>
            </w:r>
          </w:p>
        </w:tc>
      </w:tr>
      <w:tr w:rsidR="00A81C6E">
        <w:trPr>
          <w:trHeight w:val="376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I. 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II. Pozostałe koszty operacyjne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20,63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b/>
                <w:sz w:val="15"/>
              </w:rPr>
              <w:lastRenderedPageBreak/>
              <w:t xml:space="preserve">F. Zysk (strata) z działalności </w:t>
            </w:r>
            <w:r>
              <w:rPr>
                <w:b/>
                <w:sz w:val="15"/>
              </w:rPr>
              <w:t>operacyjnej (C+D-E)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-1 391 795,77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-1 297 364,39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b/>
                <w:sz w:val="15"/>
              </w:rPr>
              <w:t>G. Przychody finansowe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27,96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11,34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I. Dywidendy i udziały w zyskach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II. Odsetki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27,96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11,34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III. Inne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b/>
                <w:sz w:val="15"/>
              </w:rPr>
              <w:t>H. Koszty finansowe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I. Odsetki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II. Inne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b/>
                <w:sz w:val="15"/>
              </w:rPr>
              <w:t xml:space="preserve">I. Zysk </w:t>
            </w:r>
            <w:r>
              <w:rPr>
                <w:b/>
                <w:sz w:val="15"/>
              </w:rPr>
              <w:t>(strata) brutto (F+G-H)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-1 391 767,81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-1 297 353,05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b/>
                <w:sz w:val="15"/>
              </w:rPr>
              <w:t>J. Podatek dochodowy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b/>
                <w:sz w:val="15"/>
              </w:rPr>
              <w:t>K. Pozostałe obowiązkowe zmniejszenia zysku (zwiększenia straty)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b/>
                <w:sz w:val="15"/>
              </w:rPr>
              <w:t>L. Zysk (strata) netto (I-J-K)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-1 391 767,81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-1 297 353,05</w:t>
            </w:r>
          </w:p>
        </w:tc>
      </w:tr>
    </w:tbl>
    <w:p w:rsidR="00A81C6E" w:rsidRDefault="00466A6E">
      <w:pPr>
        <w:spacing w:after="240" w:line="282" w:lineRule="auto"/>
        <w:ind w:left="10" w:right="-15" w:hanging="10"/>
        <w:jc w:val="right"/>
      </w:pPr>
      <w:r>
        <w:rPr>
          <w:color w:val="FFFFFF"/>
          <w:sz w:val="15"/>
        </w:rPr>
        <w:t>0,00</w:t>
      </w:r>
    </w:p>
    <w:p w:rsidR="00A81C6E" w:rsidRDefault="00466A6E">
      <w:pPr>
        <w:spacing w:after="1" w:line="265" w:lineRule="auto"/>
        <w:ind w:left="128" w:right="91" w:hanging="10"/>
        <w:jc w:val="center"/>
      </w:pPr>
      <w:r>
        <w:rPr>
          <w:sz w:val="15"/>
        </w:rPr>
        <w:t>2021.03.23</w:t>
      </w:r>
    </w:p>
    <w:p w:rsidR="00A81C6E" w:rsidRDefault="00466A6E">
      <w:pPr>
        <w:tabs>
          <w:tab w:val="center" w:pos="1886"/>
          <w:tab w:val="center" w:pos="5563"/>
          <w:tab w:val="center" w:pos="9246"/>
        </w:tabs>
        <w:spacing w:after="5"/>
      </w:pPr>
      <w:r>
        <w:tab/>
      </w:r>
      <w:r>
        <w:rPr>
          <w:sz w:val="15"/>
        </w:rPr>
        <w:t>.............................................</w:t>
      </w:r>
      <w:r>
        <w:rPr>
          <w:sz w:val="15"/>
        </w:rPr>
        <w:tab/>
        <w:t>.......................................</w:t>
      </w:r>
      <w:r>
        <w:rPr>
          <w:sz w:val="15"/>
        </w:rPr>
        <w:tab/>
        <w:t>..................................................................</w:t>
      </w:r>
    </w:p>
    <w:p w:rsidR="00A81C6E" w:rsidRDefault="00466A6E">
      <w:pPr>
        <w:tabs>
          <w:tab w:val="center" w:pos="1887"/>
          <w:tab w:val="center" w:pos="5564"/>
          <w:tab w:val="center" w:pos="9248"/>
        </w:tabs>
        <w:spacing w:after="1750" w:line="265" w:lineRule="auto"/>
      </w:pPr>
      <w:r>
        <w:tab/>
      </w:r>
      <w:r>
        <w:rPr>
          <w:sz w:val="15"/>
        </w:rPr>
        <w:t>Główny księgowy</w:t>
      </w:r>
      <w:r>
        <w:rPr>
          <w:sz w:val="15"/>
        </w:rPr>
        <w:tab/>
        <w:t>rok, miesiąc, dzień</w:t>
      </w:r>
      <w:r>
        <w:rPr>
          <w:sz w:val="15"/>
        </w:rPr>
        <w:tab/>
        <w:t xml:space="preserve"> Kierownik jednostki</w:t>
      </w:r>
    </w:p>
    <w:p w:rsidR="00A81C6E" w:rsidRDefault="00466A6E">
      <w:pPr>
        <w:spacing w:after="165"/>
        <w:ind w:left="137" w:hanging="10"/>
        <w:jc w:val="center"/>
      </w:pPr>
      <w:r>
        <w:rPr>
          <w:sz w:val="13"/>
        </w:rPr>
        <w:t>Strona 1 z 1</w:t>
      </w:r>
    </w:p>
    <w:p w:rsidR="00A81C6E" w:rsidRDefault="00466A6E">
      <w:pPr>
        <w:spacing w:after="877" w:line="260" w:lineRule="auto"/>
        <w:ind w:left="-5" w:right="-4" w:hanging="10"/>
      </w:pPr>
      <w:r>
        <w:rPr>
          <w:sz w:val="13"/>
        </w:rPr>
        <w:t xml:space="preserve">Finanse VULCAN wersja </w:t>
      </w:r>
      <w:r>
        <w:rPr>
          <w:sz w:val="13"/>
        </w:rPr>
        <w:t>21.03.0009.29329, VULCAN sp. z o.o., licencja: warszawasrodmiescie, Finanse VULCAN lic. 010860, Dzielnicowe Biuro Finansów Oświaty - Śródmieście m. st. Warszawy, 00-375 Warszawa, Smolna 10A</w:t>
      </w:r>
    </w:p>
    <w:p w:rsidR="00A81C6E" w:rsidRDefault="00466A6E">
      <w:pPr>
        <w:pStyle w:val="Nagwek1"/>
        <w:spacing w:after="0" w:line="259" w:lineRule="auto"/>
        <w:ind w:left="32"/>
      </w:pPr>
      <w:r>
        <w:rPr>
          <w:rFonts w:ascii="Calibri" w:eastAsia="Calibri" w:hAnsi="Calibri" w:cs="Calibri"/>
          <w:sz w:val="18"/>
        </w:rPr>
        <w:t>Jednostka: P26/SR</w:t>
      </w:r>
    </w:p>
    <w:tbl>
      <w:tblPr>
        <w:tblStyle w:val="TableGrid"/>
        <w:tblW w:w="11142" w:type="dxa"/>
        <w:tblInd w:w="0" w:type="dxa"/>
        <w:tblCellMar>
          <w:top w:w="21" w:type="dxa"/>
          <w:left w:w="37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3775"/>
        <w:gridCol w:w="3579"/>
        <w:gridCol w:w="1894"/>
        <w:gridCol w:w="1894"/>
      </w:tblGrid>
      <w:tr w:rsidR="00A81C6E">
        <w:trPr>
          <w:trHeight w:val="256"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Nazwa i adres jednostki sprawozdawczej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A81C6E"/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Adresat</w:t>
            </w:r>
          </w:p>
        </w:tc>
      </w:tr>
      <w:tr w:rsidR="00A81C6E">
        <w:trPr>
          <w:trHeight w:val="440"/>
        </w:trPr>
        <w:tc>
          <w:tcPr>
            <w:tcW w:w="3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  <w:vAlign w:val="center"/>
          </w:tcPr>
          <w:p w:rsidR="00A81C6E" w:rsidRDefault="00466A6E">
            <w:pPr>
              <w:spacing w:after="0"/>
            </w:pPr>
            <w:r>
              <w:rPr>
                <w:sz w:val="13"/>
              </w:rPr>
              <w:t>Przedszkole nr 26</w:t>
            </w:r>
          </w:p>
        </w:tc>
        <w:tc>
          <w:tcPr>
            <w:tcW w:w="35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left="122"/>
            </w:pPr>
            <w:r>
              <w:rPr>
                <w:b/>
                <w:sz w:val="19"/>
              </w:rPr>
              <w:t>Zestawienie zmian w funduszu jednostki</w:t>
            </w:r>
          </w:p>
        </w:tc>
        <w:tc>
          <w:tcPr>
            <w:tcW w:w="37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3"/>
              </w:rPr>
              <w:t>Urząd Dzielnicy Śródmieście</w:t>
            </w:r>
          </w:p>
        </w:tc>
      </w:tr>
      <w:tr w:rsidR="00A81C6E">
        <w:trPr>
          <w:trHeight w:val="285"/>
        </w:trPr>
        <w:tc>
          <w:tcPr>
            <w:tcW w:w="37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</w:pPr>
            <w:r>
              <w:rPr>
                <w:sz w:val="13"/>
              </w:rPr>
              <w:t>ul. Nowowiejska 1/3</w:t>
            </w:r>
          </w:p>
        </w:tc>
        <w:tc>
          <w:tcPr>
            <w:tcW w:w="35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left="78"/>
              <w:jc w:val="center"/>
            </w:pPr>
            <w:r>
              <w:rPr>
                <w:sz w:val="15"/>
              </w:rPr>
              <w:t>sporządzone</w:t>
            </w:r>
          </w:p>
        </w:tc>
        <w:tc>
          <w:tcPr>
            <w:tcW w:w="37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3F3"/>
          </w:tcPr>
          <w:p w:rsidR="00A81C6E" w:rsidRDefault="00A81C6E"/>
        </w:tc>
      </w:tr>
      <w:tr w:rsidR="00A81C6E">
        <w:trPr>
          <w:trHeight w:val="465"/>
        </w:trPr>
        <w:tc>
          <w:tcPr>
            <w:tcW w:w="3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right="2513"/>
            </w:pPr>
            <w:r>
              <w:rPr>
                <w:sz w:val="13"/>
              </w:rPr>
              <w:t>00-643 Warszawa tel. 228251555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ind w:left="78"/>
              <w:jc w:val="center"/>
            </w:pPr>
            <w:r>
              <w:rPr>
                <w:sz w:val="15"/>
              </w:rPr>
              <w:t>na dzień 31.12.2020</w:t>
            </w:r>
          </w:p>
        </w:tc>
        <w:tc>
          <w:tcPr>
            <w:tcW w:w="378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3F3"/>
            <w:vAlign w:val="bottom"/>
          </w:tcPr>
          <w:p w:rsidR="00A81C6E" w:rsidRDefault="00466A6E">
            <w:pPr>
              <w:spacing w:after="290"/>
            </w:pPr>
            <w:r>
              <w:rPr>
                <w:sz w:val="14"/>
              </w:rPr>
              <w:t xml:space="preserve"> </w:t>
            </w:r>
          </w:p>
          <w:p w:rsidR="00A81C6E" w:rsidRDefault="00466A6E">
            <w:pPr>
              <w:spacing w:after="0"/>
            </w:pPr>
            <w:r>
              <w:rPr>
                <w:sz w:val="14"/>
              </w:rPr>
              <w:t xml:space="preserve"> </w:t>
            </w:r>
          </w:p>
        </w:tc>
      </w:tr>
      <w:tr w:rsidR="00A81C6E">
        <w:trPr>
          <w:trHeight w:val="470"/>
        </w:trPr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41"/>
            </w:pPr>
            <w:r>
              <w:rPr>
                <w:sz w:val="15"/>
              </w:rPr>
              <w:t>Numer indentyfikacyjny REGON</w:t>
            </w:r>
          </w:p>
          <w:p w:rsidR="00A81C6E" w:rsidRDefault="00466A6E">
            <w:pPr>
              <w:spacing w:after="0"/>
            </w:pPr>
            <w:r>
              <w:rPr>
                <w:sz w:val="13"/>
              </w:rPr>
              <w:t>013004255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</w:tr>
      <w:tr w:rsidR="00A81C6E">
        <w:trPr>
          <w:trHeight w:val="400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3F3"/>
          </w:tcPr>
          <w:p w:rsidR="00A81C6E" w:rsidRDefault="00A81C6E"/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jc w:val="center"/>
            </w:pPr>
            <w:r>
              <w:rPr>
                <w:sz w:val="16"/>
              </w:rPr>
              <w:t>Stan na koniec roku poprzedniego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3F3"/>
          </w:tcPr>
          <w:p w:rsidR="00A81C6E" w:rsidRDefault="00466A6E">
            <w:pPr>
              <w:spacing w:after="0"/>
              <w:jc w:val="center"/>
            </w:pPr>
            <w:r>
              <w:rPr>
                <w:sz w:val="16"/>
              </w:rPr>
              <w:t>Stan na koniec roku bieżącego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C6E" w:rsidRDefault="00466A6E">
            <w:pPr>
              <w:spacing w:after="0"/>
            </w:pPr>
            <w:r>
              <w:rPr>
                <w:b/>
                <w:sz w:val="15"/>
              </w:rPr>
              <w:t>I. Fundusz jednostki na początek okresu (BO)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1 157 628,37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1 324 909,10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1. Zwiększenia funduszu (z tytułu)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1 375 681,69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1 294 746,42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1.1. Zysk bilansowy za rok ubiegły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1.2. Zrealizowane wydatki budżetowe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 xml:space="preserve">1 375 </w:t>
            </w:r>
            <w:r>
              <w:rPr>
                <w:sz w:val="15"/>
              </w:rPr>
              <w:t>681,69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1 294 746,42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1.3. Zrealizowane płatności ze środków europejskich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1.4. Środki na inwestycje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1.5. Aktualizacja wyceny środków trwałych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376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sz w:val="15"/>
              </w:rPr>
              <w:t xml:space="preserve">1.6. Nieodpłatnie otrzymane środki trwałe i środki trwałe w budowie oraz wartości </w:t>
            </w:r>
            <w:r>
              <w:rPr>
                <w:sz w:val="15"/>
              </w:rPr>
              <w:t>niematerialne i prawne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1.7. Aktywa przejęte od zlikwidowanych lub połączonych jednostek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1.8. Aktywa otrzymane w ramach centralnego zaopatrzenia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1.9. Pozostałe odpisy z wyniku finansowego za rok bieżący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1.10. Inne</w:t>
            </w:r>
            <w:r>
              <w:rPr>
                <w:sz w:val="15"/>
              </w:rPr>
              <w:t xml:space="preserve"> zwiększenia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2. Zmniejszenia funduszu jednostki (z tytułu)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1 208 400,96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1 392 460,89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2.1. Strata za rok ubiegły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1 207 308,04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1 391 767,81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2.2. Zrealizowane dochody budżetowe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701,05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183,00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 xml:space="preserve">2.3. Rozliczenie wyniku finansowego i środków </w:t>
            </w:r>
            <w:r>
              <w:rPr>
                <w:sz w:val="15"/>
              </w:rPr>
              <w:t>obrotowych za rok ubiegły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391,87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494,08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2.4. Dotacje i środki na inwestycje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2.5. Aktualizacja środków trwałych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376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 xml:space="preserve">2.6. Wartość sprzedanych i nieodpłatnie przekazanych środków trwałych i środków trwałych w budowie oraz </w:t>
            </w:r>
            <w:r>
              <w:rPr>
                <w:sz w:val="15"/>
              </w:rPr>
              <w:t>wartości niematerialnych i prawnych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2.7. Pasywa przejęte od zlikwidowanych lub połączonych jednostek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2.8. Aktywa przekazane w ramach centralnego zaopatrzenia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2.9. Inne zmniejszenia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16,00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b/>
                <w:sz w:val="15"/>
              </w:rPr>
              <w:t xml:space="preserve">II. Fundusz jednostki na </w:t>
            </w:r>
            <w:r>
              <w:rPr>
                <w:b/>
                <w:sz w:val="15"/>
              </w:rPr>
              <w:t>koniec okresu (BZ)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1 324 909,10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1 227 194,63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b/>
                <w:sz w:val="15"/>
              </w:rPr>
              <w:t>III. Wynik finansowy netto za rok bieżący (+,-)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-1 392 261,89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-1 298 652,36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1. Zysk netto (+)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2. Strata netto (-)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-1 391 767,81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-1 297 353,05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sz w:val="15"/>
              </w:rPr>
              <w:t>3. Nadwyżka środków obrotowych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494,08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sz w:val="15"/>
              </w:rPr>
              <w:t>1 299,31</w:t>
            </w:r>
          </w:p>
        </w:tc>
      </w:tr>
      <w:tr w:rsidR="00A81C6E">
        <w:trPr>
          <w:trHeight w:val="235"/>
        </w:trPr>
        <w:tc>
          <w:tcPr>
            <w:tcW w:w="7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b/>
                <w:sz w:val="15"/>
              </w:rPr>
              <w:t xml:space="preserve">IV. </w:t>
            </w:r>
            <w:r>
              <w:rPr>
                <w:b/>
                <w:sz w:val="15"/>
              </w:rPr>
              <w:t>Fundusz (II+,-III)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-67 352,79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b/>
                <w:sz w:val="15"/>
              </w:rPr>
              <w:t>-71 457,73</w:t>
            </w:r>
          </w:p>
        </w:tc>
      </w:tr>
    </w:tbl>
    <w:p w:rsidR="00A81C6E" w:rsidRDefault="00466A6E">
      <w:pPr>
        <w:spacing w:after="240" w:line="282" w:lineRule="auto"/>
        <w:ind w:left="10" w:right="-15" w:hanging="10"/>
        <w:jc w:val="right"/>
      </w:pPr>
      <w:r>
        <w:rPr>
          <w:color w:val="FFFFFF"/>
          <w:sz w:val="15"/>
        </w:rPr>
        <w:t>0,00</w:t>
      </w:r>
    </w:p>
    <w:p w:rsidR="00A81C6E" w:rsidRDefault="00466A6E">
      <w:pPr>
        <w:spacing w:after="1" w:line="265" w:lineRule="auto"/>
        <w:ind w:left="128" w:right="91" w:hanging="10"/>
        <w:jc w:val="center"/>
      </w:pPr>
      <w:r>
        <w:rPr>
          <w:sz w:val="15"/>
        </w:rPr>
        <w:t>2021.03.23</w:t>
      </w:r>
    </w:p>
    <w:p w:rsidR="00A81C6E" w:rsidRDefault="00466A6E">
      <w:pPr>
        <w:tabs>
          <w:tab w:val="center" w:pos="1886"/>
          <w:tab w:val="center" w:pos="5563"/>
          <w:tab w:val="center" w:pos="9246"/>
        </w:tabs>
        <w:spacing w:after="5"/>
      </w:pPr>
      <w:r>
        <w:tab/>
      </w:r>
      <w:r>
        <w:rPr>
          <w:sz w:val="15"/>
        </w:rPr>
        <w:t>.............................................</w:t>
      </w:r>
      <w:r>
        <w:rPr>
          <w:sz w:val="15"/>
        </w:rPr>
        <w:tab/>
        <w:t>.......................................</w:t>
      </w:r>
      <w:r>
        <w:rPr>
          <w:sz w:val="15"/>
        </w:rPr>
        <w:tab/>
        <w:t>..................................................................</w:t>
      </w:r>
    </w:p>
    <w:p w:rsidR="00A81C6E" w:rsidRDefault="00466A6E">
      <w:pPr>
        <w:tabs>
          <w:tab w:val="center" w:pos="1887"/>
          <w:tab w:val="center" w:pos="5564"/>
          <w:tab w:val="center" w:pos="9248"/>
        </w:tabs>
        <w:spacing w:after="3714" w:line="265" w:lineRule="auto"/>
      </w:pPr>
      <w:r>
        <w:tab/>
      </w:r>
      <w:r>
        <w:rPr>
          <w:sz w:val="15"/>
        </w:rPr>
        <w:t>Główny księgowy</w:t>
      </w:r>
      <w:r>
        <w:rPr>
          <w:sz w:val="15"/>
        </w:rPr>
        <w:tab/>
        <w:t>rok, miesiąc, dzień</w:t>
      </w:r>
      <w:r>
        <w:rPr>
          <w:sz w:val="15"/>
        </w:rPr>
        <w:tab/>
        <w:t xml:space="preserve"> </w:t>
      </w:r>
      <w:r>
        <w:rPr>
          <w:sz w:val="15"/>
        </w:rPr>
        <w:t>Kierownik jednostki</w:t>
      </w:r>
    </w:p>
    <w:p w:rsidR="00A81C6E" w:rsidRDefault="00466A6E">
      <w:pPr>
        <w:spacing w:after="165"/>
        <w:ind w:left="137" w:hanging="10"/>
        <w:jc w:val="center"/>
      </w:pPr>
      <w:r>
        <w:rPr>
          <w:sz w:val="13"/>
        </w:rPr>
        <w:t>Strona 1 z 1</w:t>
      </w:r>
    </w:p>
    <w:p w:rsidR="00A81C6E" w:rsidRDefault="00466A6E">
      <w:pPr>
        <w:spacing w:after="877" w:line="260" w:lineRule="auto"/>
        <w:ind w:left="-5" w:right="-4" w:hanging="10"/>
      </w:pPr>
      <w:r>
        <w:rPr>
          <w:sz w:val="13"/>
        </w:rPr>
        <w:t>Finanse VULCAN wersja 21.03.0009.29329, VULCAN sp. z o.o., licencja: warszawasrodmiescie, Finanse VULCAN lic. 010860, Dzielnicowe Biuro Finansów Oświaty - Śródmieście m. st. Warszawy, 00-375 Warszawa, Smolna 10A</w:t>
      </w:r>
    </w:p>
    <w:p w:rsidR="00A81C6E" w:rsidRDefault="00A81C6E">
      <w:pPr>
        <w:sectPr w:rsidR="00A81C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093" w:right="467" w:bottom="437" w:left="340" w:header="708" w:footer="708" w:gutter="0"/>
          <w:cols w:space="708"/>
        </w:sectPr>
      </w:pPr>
    </w:p>
    <w:p w:rsidR="00A81C6E" w:rsidRDefault="00466A6E">
      <w:pPr>
        <w:spacing w:after="256"/>
      </w:pPr>
      <w:r>
        <w:rPr>
          <w:rFonts w:ascii="Book Antiqua" w:eastAsia="Book Antiqua" w:hAnsi="Book Antiqua" w:cs="Book Antiqua"/>
          <w:b/>
        </w:rPr>
        <w:t xml:space="preserve"> </w:t>
      </w:r>
    </w:p>
    <w:p w:rsidR="00A81C6E" w:rsidRDefault="00466A6E">
      <w:pPr>
        <w:pStyle w:val="Nagwek1"/>
        <w:spacing w:after="0" w:line="259" w:lineRule="auto"/>
        <w:ind w:left="2673" w:firstLine="0"/>
        <w:jc w:val="center"/>
      </w:pPr>
      <w:r>
        <w:rPr>
          <w:rFonts w:ascii="Book Antiqua" w:eastAsia="Book Antiqua" w:hAnsi="Book Antiqua" w:cs="Book Antiqua"/>
          <w:sz w:val="22"/>
        </w:rPr>
        <w:t xml:space="preserve">Załącznik nr 20 </w:t>
      </w:r>
    </w:p>
    <w:p w:rsidR="00A81C6E" w:rsidRDefault="00466A6E">
      <w:pPr>
        <w:spacing w:after="0" w:line="237" w:lineRule="auto"/>
        <w:ind w:left="5103"/>
      </w:pPr>
      <w:r>
        <w:rPr>
          <w:rFonts w:ascii="Book Antiqua" w:eastAsia="Book Antiqua" w:hAnsi="Book Antiqua" w:cs="Book Antiqua"/>
        </w:rPr>
        <w:t xml:space="preserve">do Zasad obiegu oraz kontroli sprawozdań budżetowych , sprawozdań w zakresie operacji finansowych i sprawozdań finansowych w Urzędzie m.st. Warszawy i jednostkach organizacyjnych m. st. Warszawy </w:t>
      </w:r>
    </w:p>
    <w:p w:rsidR="00A81C6E" w:rsidRDefault="00466A6E">
      <w:pPr>
        <w:spacing w:after="0"/>
      </w:pPr>
      <w:r>
        <w:rPr>
          <w:rFonts w:ascii="Book Antiqua" w:eastAsia="Book Antiqua" w:hAnsi="Book Antiqua" w:cs="Book Antiqua"/>
        </w:rPr>
        <w:t xml:space="preserve"> </w:t>
      </w:r>
    </w:p>
    <w:p w:rsidR="00A81C6E" w:rsidRDefault="00466A6E">
      <w:pPr>
        <w:spacing w:after="0"/>
        <w:ind w:left="720"/>
      </w:pPr>
      <w:r>
        <w:rPr>
          <w:rFonts w:ascii="Book Antiqua" w:eastAsia="Book Antiqua" w:hAnsi="Book Antiqua" w:cs="Book Antiqua"/>
          <w:b/>
        </w:rPr>
        <w:t xml:space="preserve"> </w:t>
      </w:r>
    </w:p>
    <w:p w:rsidR="00A81C6E" w:rsidRDefault="00466A6E">
      <w:pPr>
        <w:spacing w:after="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1C6E" w:rsidRDefault="00466A6E">
      <w:pPr>
        <w:numPr>
          <w:ilvl w:val="0"/>
          <w:numId w:val="1"/>
        </w:numPr>
        <w:spacing w:after="0"/>
        <w:ind w:hanging="360"/>
      </w:pPr>
      <w:r>
        <w:rPr>
          <w:rFonts w:ascii="Book Antiqua" w:eastAsia="Book Antiqua" w:hAnsi="Book Antiqua" w:cs="Book Antiqua"/>
          <w:b/>
        </w:rPr>
        <w:t xml:space="preserve">Informacje o Przedszkolu Nr 26 </w:t>
      </w:r>
    </w:p>
    <w:p w:rsidR="00A81C6E" w:rsidRDefault="00466A6E">
      <w:pPr>
        <w:spacing w:after="0"/>
      </w:pPr>
      <w:r>
        <w:rPr>
          <w:rFonts w:ascii="Book Antiqua" w:eastAsia="Book Antiqua" w:hAnsi="Book Antiqua" w:cs="Book Antiqua"/>
        </w:rPr>
        <w:t xml:space="preserve"> </w:t>
      </w:r>
    </w:p>
    <w:p w:rsidR="00A81C6E" w:rsidRDefault="00466A6E">
      <w:pPr>
        <w:numPr>
          <w:ilvl w:val="1"/>
          <w:numId w:val="1"/>
        </w:numPr>
        <w:spacing w:after="11" w:line="248" w:lineRule="auto"/>
        <w:ind w:left="993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Nazwa jednostki  </w:t>
      </w:r>
    </w:p>
    <w:p w:rsidR="00A81C6E" w:rsidRDefault="00466A6E">
      <w:pPr>
        <w:spacing w:after="0"/>
        <w:ind w:left="9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spacing w:after="0"/>
        <w:ind w:left="936" w:hanging="10"/>
      </w:pPr>
      <w:r>
        <w:rPr>
          <w:rFonts w:ascii="Book Antiqua" w:eastAsia="Book Antiqua" w:hAnsi="Book Antiqua" w:cs="Book Antiqua"/>
          <w:b/>
        </w:rPr>
        <w:t xml:space="preserve">Przedszkole Nr 26 </w:t>
      </w:r>
    </w:p>
    <w:p w:rsidR="00A81C6E" w:rsidRDefault="00466A6E">
      <w:pPr>
        <w:spacing w:after="0"/>
        <w:ind w:left="9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numPr>
          <w:ilvl w:val="1"/>
          <w:numId w:val="1"/>
        </w:numPr>
        <w:spacing w:after="11" w:line="248" w:lineRule="auto"/>
        <w:ind w:left="993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Siedziba jednostki </w:t>
      </w:r>
    </w:p>
    <w:p w:rsidR="00A81C6E" w:rsidRDefault="00466A6E">
      <w:pPr>
        <w:spacing w:after="0"/>
        <w:ind w:left="9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spacing w:after="4" w:line="268" w:lineRule="auto"/>
        <w:ind w:left="100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ul. Nowowiejska 1-3, 00-643 Warszawa </w:t>
      </w:r>
    </w:p>
    <w:p w:rsidR="00A81C6E" w:rsidRDefault="00466A6E">
      <w:pPr>
        <w:spacing w:after="0"/>
        <w:ind w:left="9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numPr>
          <w:ilvl w:val="1"/>
          <w:numId w:val="1"/>
        </w:numPr>
        <w:spacing w:after="11" w:line="248" w:lineRule="auto"/>
        <w:ind w:left="993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 jednostki </w:t>
      </w:r>
    </w:p>
    <w:p w:rsidR="00A81C6E" w:rsidRDefault="00466A6E">
      <w:pPr>
        <w:spacing w:after="0"/>
        <w:ind w:left="9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pStyle w:val="Nagwek1"/>
      </w:pPr>
      <w:r>
        <w:t xml:space="preserve">ul. Nowowiejska 1-3, 00-643 Warszawa </w:t>
      </w:r>
    </w:p>
    <w:p w:rsidR="00A81C6E" w:rsidRDefault="00466A6E">
      <w:pPr>
        <w:spacing w:after="14"/>
        <w:ind w:left="9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spacing w:after="11" w:line="248" w:lineRule="auto"/>
        <w:ind w:left="566"/>
        <w:jc w:val="both"/>
      </w:pPr>
      <w:r>
        <w:rPr>
          <w:rFonts w:ascii="Times New Roman" w:eastAsia="Times New Roman" w:hAnsi="Times New Roman" w:cs="Times New Roman"/>
          <w:sz w:val="24"/>
        </w:rPr>
        <w:t>1.4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Podstawowy przedmiot działalności jednostki </w:t>
      </w:r>
    </w:p>
    <w:p w:rsidR="00A81C6E" w:rsidRDefault="00466A6E">
      <w:pPr>
        <w:spacing w:after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1C6E" w:rsidRDefault="00466A6E">
      <w:pPr>
        <w:spacing w:after="31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>Przedmiotem działalności Przedszkola jest działalność edukacyjna, wychowawcza  i opiekuńcza w zakresie wychowania przedszkolnego.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1C6E" w:rsidRDefault="00466A6E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numPr>
          <w:ilvl w:val="0"/>
          <w:numId w:val="2"/>
        </w:numPr>
        <w:spacing w:after="4" w:line="268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Wskazanie okresu objętego sprawozdaniem </w:t>
      </w:r>
    </w:p>
    <w:p w:rsidR="00A81C6E" w:rsidRDefault="00466A6E">
      <w:pPr>
        <w:spacing w:after="0"/>
        <w:ind w:left="9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spacing w:after="4" w:line="268" w:lineRule="auto"/>
        <w:ind w:left="100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01.01.2020 r. – 31.12.2020 r. </w:t>
      </w:r>
    </w:p>
    <w:p w:rsidR="00A81C6E" w:rsidRDefault="00466A6E">
      <w:pPr>
        <w:spacing w:after="21"/>
        <w:ind w:left="9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numPr>
          <w:ilvl w:val="0"/>
          <w:numId w:val="2"/>
        </w:numPr>
        <w:spacing w:after="4" w:line="268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Wskazanie, że sprawozdanie zawiera dane łączne </w:t>
      </w:r>
    </w:p>
    <w:p w:rsidR="00A81C6E" w:rsidRDefault="00466A6E">
      <w:pPr>
        <w:spacing w:after="0"/>
        <w:ind w:left="9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spacing w:after="11" w:line="248" w:lineRule="auto"/>
        <w:ind w:left="99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 dotyczy </w:t>
      </w:r>
    </w:p>
    <w:p w:rsidR="00A81C6E" w:rsidRDefault="00466A6E">
      <w:pPr>
        <w:spacing w:after="31"/>
        <w:ind w:left="9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pStyle w:val="Nagwek1"/>
        <w:ind w:left="911" w:hanging="360"/>
      </w:pPr>
      <w:r>
        <w:rPr>
          <w:sz w:val="20"/>
        </w:rPr>
        <w:t>4.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Przyjęte zasady (polityki) rachunkowości, w tym metody wyceny aktywów  i pasywów   </w:t>
      </w:r>
    </w:p>
    <w:p w:rsidR="00A81C6E" w:rsidRDefault="00466A6E">
      <w:pPr>
        <w:spacing w:after="0" w:line="24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roku obrotowym 2020 stosowano zasady wynikające z ustawy z dnia 29 września 1994 r.  </w:t>
      </w:r>
      <w:r>
        <w:rPr>
          <w:rFonts w:ascii="Times New Roman" w:eastAsia="Times New Roman" w:hAnsi="Times New Roman" w:cs="Times New Roman"/>
          <w:sz w:val="24"/>
        </w:rPr>
        <w:t>o rachunkowości (Dz. U. z 2019 poz. 351 t. j.), z uwzględnieniem szczególnych zasad wyceny zawartych w rozporządzeniu Ministra finansów z dnia 13 września 2017 r. w sprawie szczególnych zasad rachunkowości oraz planów kont dla budżetu państwa, budżetów jed</w:t>
      </w:r>
      <w:r>
        <w:rPr>
          <w:rFonts w:ascii="Times New Roman" w:eastAsia="Times New Roman" w:hAnsi="Times New Roman" w:cs="Times New Roman"/>
          <w:sz w:val="24"/>
        </w:rPr>
        <w:t>nostek samorządu terytorialnego, jednostek budżetowych, samorządowych zakładów budżetowych, państwowych funduszy celowych oraz państwowych jednostek budżetowych mających siedzibę poza granicami Rzeczypospolitej Polskiej (Dz. U. z 2017 poz. 1911  z późn. zm</w:t>
      </w:r>
      <w:r>
        <w:rPr>
          <w:rFonts w:ascii="Times New Roman" w:eastAsia="Times New Roman" w:hAnsi="Times New Roman" w:cs="Times New Roman"/>
          <w:sz w:val="24"/>
        </w:rPr>
        <w:t xml:space="preserve">.). </w:t>
      </w:r>
    </w:p>
    <w:p w:rsidR="00A81C6E" w:rsidRDefault="00466A6E">
      <w:pPr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numPr>
          <w:ilvl w:val="0"/>
          <w:numId w:val="3"/>
        </w:numPr>
        <w:spacing w:after="58" w:line="248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Odpisy amortyzacyjne są dokonywane przy zastosowaniu metody liniowej wg stawek zgodnych z wykazem rocznych stawek amortyzacyjnych w ustawie o podatku dochodowym od osób prawnych; </w:t>
      </w:r>
    </w:p>
    <w:p w:rsidR="00A81C6E" w:rsidRDefault="00466A6E">
      <w:pPr>
        <w:numPr>
          <w:ilvl w:val="0"/>
          <w:numId w:val="3"/>
        </w:numPr>
        <w:spacing w:after="58" w:line="248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>Środki trwałe wyceniane były na dzień bilansowy według ceny nabycia p</w:t>
      </w:r>
      <w:r>
        <w:rPr>
          <w:rFonts w:ascii="Times New Roman" w:eastAsia="Times New Roman" w:hAnsi="Times New Roman" w:cs="Times New Roman"/>
          <w:sz w:val="24"/>
        </w:rPr>
        <w:t xml:space="preserve">omniejszonej o dotychczas dokonane odpisy umorzeniowe; </w:t>
      </w:r>
    </w:p>
    <w:p w:rsidR="00A81C6E" w:rsidRDefault="00466A6E">
      <w:pPr>
        <w:numPr>
          <w:ilvl w:val="0"/>
          <w:numId w:val="3"/>
        </w:numPr>
        <w:spacing w:after="58" w:line="248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Wartości niematerialne i prawne wyceniane były na dzień bilansowy według ceny nabycia pomniejszonej o dotychczas dokonane odpisy umorzeniowe; </w:t>
      </w:r>
    </w:p>
    <w:p w:rsidR="00A81C6E" w:rsidRDefault="00466A6E">
      <w:pPr>
        <w:numPr>
          <w:ilvl w:val="0"/>
          <w:numId w:val="3"/>
        </w:numPr>
        <w:spacing w:after="58" w:line="248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>Zbiory biblioteczne pochodzące z zakupu wycenia się wedłu</w:t>
      </w:r>
      <w:r>
        <w:rPr>
          <w:rFonts w:ascii="Times New Roman" w:eastAsia="Times New Roman" w:hAnsi="Times New Roman" w:cs="Times New Roman"/>
          <w:sz w:val="24"/>
        </w:rPr>
        <w:t xml:space="preserve">g cen nabycia, dary wyceniane są komisyjnie w oparciu o szacunek ich aktualnej wartości; </w:t>
      </w:r>
    </w:p>
    <w:p w:rsidR="00A81C6E" w:rsidRDefault="00466A6E">
      <w:pPr>
        <w:numPr>
          <w:ilvl w:val="0"/>
          <w:numId w:val="3"/>
        </w:numPr>
        <w:spacing w:after="58" w:line="248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Nieruchomości ewidencjonuje się i wycenia według wartości początkowej (nabycia lub wytworzenia); </w:t>
      </w:r>
    </w:p>
    <w:p w:rsidR="00A81C6E" w:rsidRDefault="00466A6E">
      <w:pPr>
        <w:numPr>
          <w:ilvl w:val="0"/>
          <w:numId w:val="3"/>
        </w:numPr>
        <w:spacing w:after="58" w:line="248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>Ewidencję niskowartościowych przedmiotów i praw o wartości nabycia p</w:t>
      </w:r>
      <w:r>
        <w:rPr>
          <w:rFonts w:ascii="Times New Roman" w:eastAsia="Times New Roman" w:hAnsi="Times New Roman" w:cs="Times New Roman"/>
          <w:sz w:val="24"/>
        </w:rPr>
        <w:t>owyżej 500,00 zł i nie przekraczającej 10 000,00 zł o przewidywanym okresie użytkowania powyżej roku prowadzi się na koncie analitycznym 013 (ewidencja wartościowa).  W momencie przyjęcia ich do użytkowania dokonuje się jednorazowych odpisów ich wartości n</w:t>
      </w:r>
      <w:r>
        <w:rPr>
          <w:rFonts w:ascii="Times New Roman" w:eastAsia="Times New Roman" w:hAnsi="Times New Roman" w:cs="Times New Roman"/>
          <w:sz w:val="24"/>
        </w:rPr>
        <w:t xml:space="preserve">abycia w koszty; </w:t>
      </w:r>
    </w:p>
    <w:p w:rsidR="00A81C6E" w:rsidRDefault="00466A6E">
      <w:pPr>
        <w:numPr>
          <w:ilvl w:val="0"/>
          <w:numId w:val="3"/>
        </w:numPr>
        <w:spacing w:after="58" w:line="248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>Aktywa otrzymane nieodpłatnie, w tym w formie darowizny, wycenia się co do zasady według ceny sprzedaży takiego samego lub podobnego przedmiotu (według wartości rynkowej aktualnej w momencie otrzymania). Wartość przyjętych nieodpłatnie ak</w:t>
      </w:r>
      <w:r>
        <w:rPr>
          <w:rFonts w:ascii="Times New Roman" w:eastAsia="Times New Roman" w:hAnsi="Times New Roman" w:cs="Times New Roman"/>
          <w:sz w:val="24"/>
        </w:rPr>
        <w:t xml:space="preserve">tywów, w tym środków obrotowych, w ramach centralnego zaopatrzenia odnosi się w ciężar funduszu jednostki. </w:t>
      </w:r>
    </w:p>
    <w:p w:rsidR="00A81C6E" w:rsidRDefault="00466A6E">
      <w:pPr>
        <w:numPr>
          <w:ilvl w:val="0"/>
          <w:numId w:val="3"/>
        </w:numPr>
        <w:spacing w:after="58" w:line="248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>Należności wycenione zostały w wartości podlegającej zapłacie w sposób pozwalający na wyodrębnienie ich tytułów, kontrahentów, podziału na długo i k</w:t>
      </w:r>
      <w:r>
        <w:rPr>
          <w:rFonts w:ascii="Times New Roman" w:eastAsia="Times New Roman" w:hAnsi="Times New Roman" w:cs="Times New Roman"/>
          <w:sz w:val="24"/>
        </w:rPr>
        <w:t>rótkoterminowe według klasyfikacji wymaganej w raportowaniu budżetowym. Wartość należności na dzień bilansowy aktualizuje się z uwzględnieniem prawdopodobieństwa zapłaty oraz stopnia ich przeterminowania. Odsetki od nieterminowych płatności należności ujmu</w:t>
      </w:r>
      <w:r>
        <w:rPr>
          <w:rFonts w:ascii="Times New Roman" w:eastAsia="Times New Roman" w:hAnsi="Times New Roman" w:cs="Times New Roman"/>
          <w:sz w:val="24"/>
        </w:rPr>
        <w:t xml:space="preserve">je się nie później niż pod datą ostatniego dnia kwartału w wysokości odsetek należnych na koniec tego kwartału lub w momencie zapłaty. Odpisy aktualizujące obciążają pozostałe koszty operacyjne i finansowe; </w:t>
      </w:r>
    </w:p>
    <w:p w:rsidR="00A81C6E" w:rsidRDefault="00466A6E">
      <w:pPr>
        <w:numPr>
          <w:ilvl w:val="0"/>
          <w:numId w:val="3"/>
        </w:numPr>
        <w:spacing w:after="58" w:line="248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>Zobowiązania wycenione zostały w wartości podleg</w:t>
      </w:r>
      <w:r>
        <w:rPr>
          <w:rFonts w:ascii="Times New Roman" w:eastAsia="Times New Roman" w:hAnsi="Times New Roman" w:cs="Times New Roman"/>
          <w:sz w:val="24"/>
        </w:rPr>
        <w:t>ającej zapłacie w sposób pozwalający na wyodrębnienie ich tytułów, kontrahentów, podziału na długo  i krótkoterminowe według klasyfikacji wymaganej w raportowaniu budżetowym. Odpisane, przedawnione i umorzone zobowiązania wycenia się w kwocie wymagającej z</w:t>
      </w:r>
      <w:r>
        <w:rPr>
          <w:rFonts w:ascii="Times New Roman" w:eastAsia="Times New Roman" w:hAnsi="Times New Roman" w:cs="Times New Roman"/>
          <w:sz w:val="24"/>
        </w:rPr>
        <w:t xml:space="preserve">apłaty i ujmuje w przychodach finansowych. Rezerwy na zobowiązania nie są tworzone. </w:t>
      </w:r>
    </w:p>
    <w:p w:rsidR="00A81C6E" w:rsidRDefault="00466A6E">
      <w:pPr>
        <w:numPr>
          <w:ilvl w:val="0"/>
          <w:numId w:val="3"/>
        </w:numPr>
        <w:spacing w:after="58" w:line="248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>Zapasy materiałów, towarów, produktów gotowych, półproduktów i produktów  w toku wycenia się według cen nabycia;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1C6E" w:rsidRDefault="00466A6E">
      <w:pPr>
        <w:numPr>
          <w:ilvl w:val="0"/>
          <w:numId w:val="3"/>
        </w:numPr>
        <w:spacing w:after="58" w:line="248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>Środki pieniężne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krajowe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rachunkach bankowych wycenia </w:t>
      </w:r>
      <w:r>
        <w:rPr>
          <w:rFonts w:ascii="Times New Roman" w:eastAsia="Times New Roman" w:hAnsi="Times New Roman" w:cs="Times New Roman"/>
          <w:sz w:val="24"/>
        </w:rPr>
        <w:t xml:space="preserve">się według ich wartości nominalnej; </w:t>
      </w:r>
    </w:p>
    <w:p w:rsidR="00A81C6E" w:rsidRDefault="00466A6E">
      <w:pPr>
        <w:numPr>
          <w:ilvl w:val="0"/>
          <w:numId w:val="3"/>
        </w:numPr>
        <w:spacing w:after="0" w:line="248" w:lineRule="auto"/>
        <w:ind w:hanging="348"/>
        <w:jc w:val="both"/>
      </w:pPr>
      <w:r>
        <w:rPr>
          <w:rFonts w:ascii="Times New Roman" w:eastAsia="Times New Roman" w:hAnsi="Times New Roman" w:cs="Times New Roman"/>
          <w:b/>
          <w:sz w:val="24"/>
        </w:rPr>
        <w:t>Rozliczenia okresowe  czynne i bierne</w:t>
      </w:r>
      <w:r>
        <w:rPr>
          <w:rFonts w:ascii="Times New Roman" w:eastAsia="Times New Roman" w:hAnsi="Times New Roman" w:cs="Times New Roman"/>
          <w:sz w:val="24"/>
        </w:rPr>
        <w:t xml:space="preserve"> ujmowane są w księgach rachunkowych jeśli łączna wartość wszystkich pozycji mających podlegać rozliczeniu w czasie jest większa niż 0,5 % sumy wartości rozliczeń międzyokresowych za</w:t>
      </w:r>
      <w:r>
        <w:rPr>
          <w:rFonts w:ascii="Times New Roman" w:eastAsia="Times New Roman" w:hAnsi="Times New Roman" w:cs="Times New Roman"/>
          <w:sz w:val="24"/>
        </w:rPr>
        <w:t xml:space="preserve"> rok poprzedni.   Wydatki na prenumeratę prasy, prowadzenie stron BIP, abonamenty RTV, itp. obciążają koszty w miesiącu i roku ich poniesienia, nie powoduje to istotnego zniekształcenia wyniku finansowego.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1C6E" w:rsidRDefault="00466A6E">
      <w:pPr>
        <w:spacing w:after="0"/>
        <w:ind w:left="92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81C6E" w:rsidRDefault="00466A6E">
      <w:pPr>
        <w:spacing w:after="0"/>
        <w:ind w:left="9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pStyle w:val="Nagwek1"/>
        <w:ind w:left="561"/>
      </w:pPr>
      <w:r>
        <w:rPr>
          <w:sz w:val="20"/>
        </w:rPr>
        <w:t>5.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Inne informacje </w:t>
      </w:r>
    </w:p>
    <w:p w:rsidR="00A81C6E" w:rsidRDefault="00466A6E">
      <w:pPr>
        <w:spacing w:after="7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81C6E" w:rsidRDefault="00466A6E">
      <w:pPr>
        <w:spacing w:after="31" w:line="248" w:lineRule="auto"/>
        <w:ind w:left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jednostce nie wystąpiła korekta bilansu otwarcia 2020 roku oraz zmiana  w prezentacji poszczególnych pozycji sprawozdania finansowego. </w:t>
      </w:r>
    </w:p>
    <w:p w:rsidR="00A81C6E" w:rsidRDefault="00466A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466A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1C6E" w:rsidRDefault="00A81C6E">
      <w:pPr>
        <w:sectPr w:rsidR="00A81C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41"/>
          <w:pgMar w:top="2358" w:right="1129" w:bottom="1633" w:left="1702" w:header="861" w:footer="857" w:gutter="0"/>
          <w:cols w:space="708"/>
        </w:sectPr>
      </w:pPr>
    </w:p>
    <w:p w:rsidR="00A81C6E" w:rsidRDefault="00466A6E">
      <w:pPr>
        <w:pStyle w:val="Nagwek2"/>
      </w:pPr>
      <w:r>
        <w:t>Załącznik nr 21</w:t>
      </w:r>
    </w:p>
    <w:p w:rsidR="00A81C6E" w:rsidRDefault="00466A6E">
      <w:pPr>
        <w:spacing w:after="223" w:line="255" w:lineRule="auto"/>
        <w:ind w:left="8821"/>
      </w:pPr>
      <w:r>
        <w:rPr>
          <w:rFonts w:ascii="Book Antiqua" w:eastAsia="Book Antiqua" w:hAnsi="Book Antiqua" w:cs="Book Antiqua"/>
          <w:sz w:val="15"/>
        </w:rPr>
        <w:t>do Zasad o</w:t>
      </w:r>
      <w:r>
        <w:rPr>
          <w:rFonts w:ascii="Book Antiqua" w:eastAsia="Book Antiqua" w:hAnsi="Book Antiqua" w:cs="Book Antiqua"/>
          <w:sz w:val="15"/>
        </w:rPr>
        <w:t>biegu oraz kontroli sprawozdań budżetowych, sprawozdań w zakresie operacji finansowych i sprawozdań  finansowych w Urzędzie m.st. Warszawy i  jednostkach organizacyjnych m.st. Warszawy</w:t>
      </w:r>
    </w:p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II.1.1.a. Rzeczowy majątek trwały - zmiany w ciągu roku obrotowego </w:t>
      </w:r>
    </w:p>
    <w:tbl>
      <w:tblPr>
        <w:tblStyle w:val="TableGrid"/>
        <w:tblW w:w="14751" w:type="dxa"/>
        <w:tblInd w:w="-28" w:type="dxa"/>
        <w:tblCellMar>
          <w:top w:w="27" w:type="dxa"/>
          <w:left w:w="0" w:type="dxa"/>
          <w:bottom w:w="2" w:type="dxa"/>
          <w:right w:w="10" w:type="dxa"/>
        </w:tblCellMar>
        <w:tblLook w:val="04A0" w:firstRow="1" w:lastRow="0" w:firstColumn="1" w:lastColumn="0" w:noHBand="0" w:noVBand="1"/>
      </w:tblPr>
      <w:tblGrid>
        <w:gridCol w:w="1921"/>
        <w:gridCol w:w="1340"/>
        <w:gridCol w:w="298"/>
        <w:gridCol w:w="2062"/>
        <w:gridCol w:w="1532"/>
        <w:gridCol w:w="1668"/>
        <w:gridCol w:w="1383"/>
        <w:gridCol w:w="1382"/>
        <w:gridCol w:w="1498"/>
        <w:gridCol w:w="1668"/>
      </w:tblGrid>
      <w:tr w:rsidR="00A81C6E">
        <w:trPr>
          <w:trHeight w:val="223"/>
        </w:trPr>
        <w:tc>
          <w:tcPr>
            <w:tcW w:w="192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23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32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466A6E">
            <w:pPr>
              <w:spacing w:after="0"/>
              <w:ind w:left="47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ŚRODKI TRWAŁE</w:t>
            </w:r>
          </w:p>
        </w:tc>
        <w:tc>
          <w:tcPr>
            <w:tcW w:w="138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  <w:vAlign w:val="bottom"/>
          </w:tcPr>
          <w:p w:rsidR="00A81C6E" w:rsidRDefault="00A81C6E"/>
        </w:tc>
        <w:tc>
          <w:tcPr>
            <w:tcW w:w="13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149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81C6E" w:rsidRDefault="00A81C6E"/>
        </w:tc>
        <w:tc>
          <w:tcPr>
            <w:tcW w:w="16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81C6E" w:rsidRDefault="00A81C6E"/>
        </w:tc>
      </w:tr>
      <w:tr w:rsidR="00A81C6E">
        <w:trPr>
          <w:trHeight w:val="1150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A81C6E" w:rsidRDefault="00466A6E">
            <w:pPr>
              <w:spacing w:after="0"/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Rzeczowy majątek trwały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vAlign w:val="bottom"/>
          </w:tcPr>
          <w:p w:rsidR="00A81C6E" w:rsidRDefault="00466A6E">
            <w:pPr>
              <w:spacing w:after="0"/>
              <w:ind w:left="3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Grunty</w:t>
            </w:r>
          </w:p>
        </w:tc>
        <w:tc>
          <w:tcPr>
            <w:tcW w:w="29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20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A81C6E" w:rsidRDefault="00466A6E">
            <w:pPr>
              <w:spacing w:after="1" w:line="262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 xml:space="preserve">w tym: Grunty stanowiące własność jednostki samorządu terytorialnego, przekazane w </w:t>
            </w:r>
          </w:p>
          <w:p w:rsidR="00A81C6E" w:rsidRDefault="00466A6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użytkowanie wieczyste innym podmiotom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A81C6E" w:rsidRDefault="00466A6E">
            <w:pPr>
              <w:spacing w:after="0"/>
              <w:ind w:left="194" w:right="178" w:firstLine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Budynki, lokale i obiekty inżynierii lądowej i wodnej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Urządzenia techniczne i maszyny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A81C6E" w:rsidRDefault="00466A6E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Środki transportu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A81C6E" w:rsidRDefault="00466A6E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Inne środki trwałe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A81C6E" w:rsidRDefault="00466A6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Środki trwałe w budowie (inwestycje) oraz zaliczki na poczet inwestycji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bottom"/>
          </w:tcPr>
          <w:p w:rsidR="00A81C6E" w:rsidRDefault="00466A6E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</w:t>
            </w:r>
          </w:p>
        </w:tc>
      </w:tr>
      <w:tr w:rsidR="00A81C6E">
        <w:trPr>
          <w:trHeight w:val="212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nil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Warto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>ść początkowa</w:t>
            </w:r>
          </w:p>
        </w:tc>
        <w:tc>
          <w:tcPr>
            <w:tcW w:w="13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3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3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</w:tr>
      <w:tr w:rsidR="00A81C6E">
        <w:trPr>
          <w:trHeight w:val="234"/>
        </w:trPr>
        <w:tc>
          <w:tcPr>
            <w:tcW w:w="1921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Saldo otwarcia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24 865,07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214 063,48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238 928,55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Zwiększenia, w tym: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13 927,74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13 927,74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Nabycie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13 927,74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13 927,74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Inne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Przemieszczenia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Zmniejszenia, w tym: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5 893,70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5 893,70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Likwidacja i sprzedaż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5 893,70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5 893,70</w:t>
            </w:r>
          </w:p>
        </w:tc>
      </w:tr>
      <w:tr w:rsidR="00A81C6E">
        <w:trPr>
          <w:trHeight w:val="224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Inne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Saldo zamknięcia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24 865,07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222 097,52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246 962,59</w:t>
            </w:r>
          </w:p>
        </w:tc>
      </w:tr>
      <w:tr w:rsidR="00A81C6E">
        <w:trPr>
          <w:trHeight w:val="212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Umorzenie</w:t>
            </w:r>
          </w:p>
        </w:tc>
        <w:tc>
          <w:tcPr>
            <w:tcW w:w="13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3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3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34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Saldo otwarcia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18 080,39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207 441,16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225 521,55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Zwiększenia, w tym: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3 923,48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19 676,26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23 599,74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Amortyzacja okresu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3 923,48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5 748,52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9 672,00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Inne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13 927,74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13 927,74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Przemieszczenia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Zmniejszenia, w tym: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5 893,70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5 893,70</w:t>
            </w:r>
          </w:p>
        </w:tc>
      </w:tr>
      <w:tr w:rsidR="00A81C6E">
        <w:trPr>
          <w:trHeight w:val="224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Likwidacja i sprzedaż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5 893,70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5 893,70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Inne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Saldo zamknięcia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22 003,87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221 223,72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243 227,59</w:t>
            </w:r>
          </w:p>
        </w:tc>
      </w:tr>
      <w:tr w:rsidR="00A81C6E">
        <w:trPr>
          <w:trHeight w:val="212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nil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Odpisy aktualizujące</w:t>
            </w:r>
          </w:p>
        </w:tc>
        <w:tc>
          <w:tcPr>
            <w:tcW w:w="13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3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3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34"/>
        </w:trPr>
        <w:tc>
          <w:tcPr>
            <w:tcW w:w="1921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Saldo otwarcia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Zwiększenia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Zmniejszenia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</w:tr>
      <w:tr w:rsidR="00A81C6E">
        <w:trPr>
          <w:trHeight w:val="223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Saldo zamknięcia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12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Wartość netto</w:t>
            </w:r>
          </w:p>
        </w:tc>
        <w:tc>
          <w:tcPr>
            <w:tcW w:w="13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3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3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34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Saldo otwarcia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6 784,68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6 622,32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13 407,00</w:t>
            </w:r>
          </w:p>
        </w:tc>
      </w:tr>
      <w:tr w:rsidR="00A81C6E">
        <w:trPr>
          <w:trHeight w:val="224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Saldo zamkn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>ięcia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2 861,20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873,80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3 735,00</w:t>
            </w:r>
          </w:p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II.1.1.b. Wartości niematerialne i prawne  - zmiany w ciągu roku obrotowego </w:t>
      </w:r>
    </w:p>
    <w:tbl>
      <w:tblPr>
        <w:tblStyle w:val="TableGrid"/>
        <w:tblW w:w="5620" w:type="dxa"/>
        <w:tblInd w:w="-28" w:type="dxa"/>
        <w:tblCellMar>
          <w:top w:w="32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559"/>
        <w:gridCol w:w="2062"/>
      </w:tblGrid>
      <w:tr w:rsidR="00A81C6E">
        <w:trPr>
          <w:trHeight w:val="975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8"/>
              <w:jc w:val="center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WARTOŚCI NIEMATERIALNE I PRAWNE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jc w:val="center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Wartości niematerialne i prawne ogółem</w:t>
            </w:r>
          </w:p>
        </w:tc>
      </w:tr>
      <w:tr w:rsidR="00A81C6E">
        <w:trPr>
          <w:trHeight w:val="18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Wartość początkowa</w:t>
            </w:r>
          </w:p>
        </w:tc>
        <w:tc>
          <w:tcPr>
            <w:tcW w:w="2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A81C6E" w:rsidRDefault="00A81C6E"/>
        </w:tc>
      </w:tr>
      <w:tr w:rsidR="00A81C6E">
        <w:trPr>
          <w:trHeight w:val="316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 xml:space="preserve">Saldo otwarcia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A81C6E" w:rsidRDefault="00A81C6E"/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Zwiększenia, w tym: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81C6E" w:rsidRDefault="00466A6E">
            <w:pPr>
              <w:spacing w:after="0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i/>
                <w:sz w:val="15"/>
              </w:rPr>
              <w:t>Nabycie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i/>
                <w:sz w:val="15"/>
              </w:rPr>
              <w:t>Inne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Zmniejszenia, w tym: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i/>
                <w:sz w:val="15"/>
              </w:rPr>
              <w:t>Likwidacja i sprzedaż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i/>
                <w:sz w:val="15"/>
              </w:rPr>
              <w:t>Inne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 xml:space="preserve">Saldo zamknięcia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</w:tr>
      <w:tr w:rsidR="00A81C6E">
        <w:trPr>
          <w:trHeight w:val="28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Umorzenie</w:t>
            </w:r>
          </w:p>
        </w:tc>
        <w:tc>
          <w:tcPr>
            <w:tcW w:w="2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16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Saldo otwarcia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A81C6E" w:rsidRDefault="00A81C6E"/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Zwiększenia, w tym: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81C6E" w:rsidRDefault="00466A6E">
            <w:pPr>
              <w:spacing w:after="0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</w:tr>
      <w:tr w:rsidR="00A81C6E">
        <w:trPr>
          <w:trHeight w:val="30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i/>
                <w:sz w:val="15"/>
              </w:rPr>
              <w:t>Amortyzacja okresu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i/>
                <w:sz w:val="15"/>
              </w:rPr>
              <w:t>Inne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Zmniejszenia, w tym: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i/>
                <w:sz w:val="15"/>
              </w:rPr>
              <w:t>Likwidacja i sprzedaż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i/>
                <w:sz w:val="15"/>
              </w:rPr>
              <w:t>Inne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Saldo zamknięcia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</w:tr>
      <w:tr w:rsidR="00A81C6E">
        <w:trPr>
          <w:trHeight w:val="218"/>
        </w:trPr>
        <w:tc>
          <w:tcPr>
            <w:tcW w:w="3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Odpisy aktualizujące</w:t>
            </w:r>
          </w:p>
        </w:tc>
        <w:tc>
          <w:tcPr>
            <w:tcW w:w="206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Saldo otwarcia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A81C6E" w:rsidRDefault="00A81C6E"/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i/>
                <w:sz w:val="15"/>
              </w:rPr>
              <w:t>Zwiększenia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i/>
                <w:sz w:val="15"/>
              </w:rPr>
              <w:t>Zmniejszenia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 xml:space="preserve">Saldo zamknięcia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</w:tr>
      <w:tr w:rsidR="00A81C6E">
        <w:trPr>
          <w:trHeight w:val="28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Wartość netto</w:t>
            </w:r>
          </w:p>
        </w:tc>
        <w:tc>
          <w:tcPr>
            <w:tcW w:w="2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16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bottom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Saldo otwarcia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bottom"/>
          </w:tcPr>
          <w:p w:rsidR="00A81C6E" w:rsidRDefault="00466A6E">
            <w:pPr>
              <w:spacing w:after="0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Saldo zamknięcia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II.1.1.c. Informacja o zasobach dóbr kultury (zabytkach) </w:t>
      </w:r>
    </w:p>
    <w:tbl>
      <w:tblPr>
        <w:tblStyle w:val="TableGrid"/>
        <w:tblW w:w="8820" w:type="dxa"/>
        <w:tblInd w:w="-28" w:type="dxa"/>
        <w:tblCellMar>
          <w:top w:w="0" w:type="dxa"/>
          <w:left w:w="28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921"/>
        <w:gridCol w:w="1637"/>
        <w:gridCol w:w="2062"/>
        <w:gridCol w:w="1532"/>
        <w:gridCol w:w="1668"/>
      </w:tblGrid>
      <w:tr w:rsidR="00A81C6E">
        <w:trPr>
          <w:trHeight w:val="2101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Wyszczególnienie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Zabytki ruchome (w szczególności: dzieła </w:t>
            </w:r>
          </w:p>
          <w:p w:rsidR="00A81C6E" w:rsidRDefault="00466A6E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sztuk plastycznych, rzemiosła </w:t>
            </w:r>
          </w:p>
          <w:p w:rsidR="00A81C6E" w:rsidRDefault="00466A6E">
            <w:pPr>
              <w:spacing w:after="2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artystycznego, </w:t>
            </w:r>
          </w:p>
          <w:p w:rsidR="00A81C6E" w:rsidRDefault="00466A6E">
            <w:pPr>
              <w:spacing w:after="2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numizmaty, pamiątki </w:t>
            </w:r>
          </w:p>
          <w:p w:rsidR="00A81C6E" w:rsidRDefault="00466A6E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historyczne, materiały biblioteczne, </w:t>
            </w:r>
          </w:p>
          <w:p w:rsidR="00A81C6E" w:rsidRDefault="00466A6E">
            <w:pPr>
              <w:spacing w:after="0"/>
              <w:ind w:left="11" w:hanging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instrumenty muzyczne, wytwory sztuki ludowej)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Zabytki nieruchome (w szczególności: dzieła </w:t>
            </w:r>
          </w:p>
          <w:p w:rsidR="00A81C6E" w:rsidRDefault="00466A6E">
            <w:pPr>
              <w:spacing w:after="2"/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architektury i budownictwa, </w:t>
            </w:r>
          </w:p>
          <w:p w:rsidR="00A81C6E" w:rsidRDefault="00466A6E">
            <w:pPr>
              <w:spacing w:after="2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pomniki, tablice pamiątkowe, </w:t>
            </w:r>
          </w:p>
          <w:p w:rsidR="00A81C6E" w:rsidRDefault="00466A6E">
            <w:pPr>
              <w:spacing w:after="0"/>
              <w:ind w:left="460" w:hanging="3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cmentarze, parki i ogrody, obiekty techniki)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 w:line="262" w:lineRule="auto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Zabytki archeologiczne (w szczególności: </w:t>
            </w:r>
          </w:p>
          <w:p w:rsidR="00A81C6E" w:rsidRDefault="00466A6E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pozostałości terenowe pradziejowego i </w:t>
            </w:r>
          </w:p>
          <w:p w:rsidR="00A81C6E" w:rsidRDefault="00466A6E">
            <w:pPr>
              <w:spacing w:after="2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historycznego </w:t>
            </w:r>
          </w:p>
          <w:p w:rsidR="00A81C6E" w:rsidRDefault="00466A6E">
            <w:pPr>
              <w:spacing w:after="2"/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osadnictwa, kurhany, </w:t>
            </w:r>
          </w:p>
          <w:p w:rsidR="00A81C6E" w:rsidRDefault="00466A6E">
            <w:pPr>
              <w:spacing w:after="0"/>
              <w:ind w:left="294" w:right="132" w:hanging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relikty działalności gospodarczej, religijnej i artystycznej)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Ogółem</w:t>
            </w:r>
          </w:p>
        </w:tc>
      </w:tr>
      <w:tr w:rsidR="00A81C6E">
        <w:trPr>
          <w:trHeight w:val="202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Wartość początkowa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82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Wartość początkowa na początek okresu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90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Zwiększenia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92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1. Zakup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89"/>
        </w:trPr>
        <w:tc>
          <w:tcPr>
            <w:tcW w:w="192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2. Inne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90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Zmniejszenia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92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1. Sprzedaż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90"/>
        </w:trPr>
        <w:tc>
          <w:tcPr>
            <w:tcW w:w="19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2. Przekazanie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89"/>
        </w:trPr>
        <w:tc>
          <w:tcPr>
            <w:tcW w:w="192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3. Inne (likwidacja)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386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Wartość początkowa na koniec okresu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02"/>
        </w:trPr>
        <w:tc>
          <w:tcPr>
            <w:tcW w:w="88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Odpisy aktualizujące </w:t>
            </w:r>
          </w:p>
        </w:tc>
      </w:tr>
      <w:tr w:rsidR="00A81C6E">
        <w:trPr>
          <w:trHeight w:val="290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Odpisy na początek okresu 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90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Zwiększenia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90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Zmniejszenia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91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Odpisy na koniec okresu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</w:tbl>
    <w:p w:rsidR="00A81C6E" w:rsidRDefault="00466A6E">
      <w:pPr>
        <w:spacing w:after="3" w:line="261" w:lineRule="auto"/>
        <w:ind w:left="-3" w:right="9990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II.1.2. Aktualna wartość rynkowa środków trwałych, o ile jednostka dysponuje takimi informacjami </w:t>
      </w:r>
    </w:p>
    <w:tbl>
      <w:tblPr>
        <w:tblStyle w:val="TableGrid"/>
        <w:tblW w:w="7152" w:type="dxa"/>
        <w:tblInd w:w="-28" w:type="dxa"/>
        <w:tblCellMar>
          <w:top w:w="7" w:type="dxa"/>
          <w:left w:w="28" w:type="dxa"/>
          <w:bottom w:w="20" w:type="dxa"/>
          <w:right w:w="82" w:type="dxa"/>
        </w:tblCellMar>
        <w:tblLook w:val="04A0" w:firstRow="1" w:lastRow="0" w:firstColumn="1" w:lastColumn="0" w:noHBand="0" w:noVBand="1"/>
      </w:tblPr>
      <w:tblGrid>
        <w:gridCol w:w="1921"/>
        <w:gridCol w:w="1637"/>
        <w:gridCol w:w="2062"/>
        <w:gridCol w:w="1532"/>
      </w:tblGrid>
      <w:tr w:rsidR="00A81C6E">
        <w:trPr>
          <w:trHeight w:val="197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Treść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początek roku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koniec roku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Uwagi</w:t>
            </w:r>
          </w:p>
        </w:tc>
      </w:tr>
      <w:tr w:rsidR="00A81C6E">
        <w:trPr>
          <w:trHeight w:val="437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Środki trwałe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691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466A6E">
            <w:pPr>
              <w:spacing w:after="125"/>
            </w:pPr>
            <w:r>
              <w:rPr>
                <w:rFonts w:ascii="Times New Roman" w:eastAsia="Times New Roman" w:hAnsi="Times New Roman" w:cs="Times New Roman"/>
                <w:sz w:val="15"/>
              </w:rPr>
              <w:t>w tym:</w:t>
            </w:r>
          </w:p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Dobra kultury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 II.1.3. Odpisy aktualizujące wartość długoterminowych aktywów</w:t>
      </w:r>
    </w:p>
    <w:tbl>
      <w:tblPr>
        <w:tblStyle w:val="TableGrid"/>
        <w:tblW w:w="14751" w:type="dxa"/>
        <w:tblInd w:w="-28" w:type="dxa"/>
        <w:tblCellMar>
          <w:top w:w="0" w:type="dxa"/>
          <w:left w:w="0" w:type="dxa"/>
          <w:bottom w:w="1" w:type="dxa"/>
          <w:right w:w="7" w:type="dxa"/>
        </w:tblCellMar>
        <w:tblLook w:val="04A0" w:firstRow="1" w:lastRow="0" w:firstColumn="1" w:lastColumn="0" w:noHBand="0" w:noVBand="1"/>
      </w:tblPr>
      <w:tblGrid>
        <w:gridCol w:w="1921"/>
        <w:gridCol w:w="1637"/>
        <w:gridCol w:w="2062"/>
        <w:gridCol w:w="1532"/>
        <w:gridCol w:w="1668"/>
        <w:gridCol w:w="1383"/>
        <w:gridCol w:w="1382"/>
        <w:gridCol w:w="1498"/>
        <w:gridCol w:w="1668"/>
      </w:tblGrid>
      <w:tr w:rsidR="00A81C6E">
        <w:trPr>
          <w:trHeight w:val="214"/>
        </w:trPr>
        <w:tc>
          <w:tcPr>
            <w:tcW w:w="19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A81C6E" w:rsidRDefault="00A81C6E"/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A81C6E" w:rsidRDefault="00A81C6E"/>
        </w:tc>
        <w:tc>
          <w:tcPr>
            <w:tcW w:w="3593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A81C6E" w:rsidRDefault="00466A6E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Długoterminowe aktywa niefinanso</w:t>
            </w:r>
          </w:p>
        </w:tc>
        <w:tc>
          <w:tcPr>
            <w:tcW w:w="166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A81C6E" w:rsidRDefault="00466A6E">
            <w:pPr>
              <w:spacing w:after="0"/>
              <w:ind w:left="-1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we</w:t>
            </w:r>
          </w:p>
        </w:tc>
        <w:tc>
          <w:tcPr>
            <w:tcW w:w="1383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A81C6E" w:rsidRDefault="00A81C6E"/>
        </w:tc>
        <w:tc>
          <w:tcPr>
            <w:tcW w:w="45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Długoterminowe aktywa finansowe</w:t>
            </w:r>
          </w:p>
        </w:tc>
      </w:tr>
      <w:tr w:rsidR="00A81C6E">
        <w:trPr>
          <w:trHeight w:val="5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A81C6E" w:rsidRDefault="00466A6E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Wartości niematerialne i prawne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A81C6E" w:rsidRDefault="00466A6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Rzeczowe aktywa trwałe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Należności długoterminowe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Nieruchomości inwestycyjne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Wartość mienia zlikwidowanych jednostek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A81C6E" w:rsidRDefault="00466A6E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Akcje i udziały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Inne  papiery wartościowe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bottom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Inne długoterminowe aktywa finansowe</w:t>
            </w:r>
          </w:p>
        </w:tc>
      </w:tr>
      <w:tr w:rsidR="00A81C6E">
        <w:trPr>
          <w:trHeight w:val="197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początek roku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518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Kwota dokonanych w trakcie roku obrotowego odpisów aktualizujących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526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4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Kwota zmniejszeń odpisów </w:t>
            </w:r>
          </w:p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aktualizujących w trakcie roku obrotowego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02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koniec roku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2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2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2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2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2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2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2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2"/>
              <w:jc w:val="right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0,00</w:t>
            </w:r>
          </w:p>
        </w:tc>
      </w:tr>
    </w:tbl>
    <w:p w:rsidR="00A81C6E" w:rsidRDefault="00466A6E">
      <w:pPr>
        <w:numPr>
          <w:ilvl w:val="0"/>
          <w:numId w:val="4"/>
        </w:numPr>
        <w:spacing w:after="3" w:line="261" w:lineRule="auto"/>
        <w:ind w:right="882" w:hanging="216"/>
      </w:pPr>
      <w:r>
        <w:rPr>
          <w:rFonts w:ascii="Times New Roman" w:eastAsia="Times New Roman" w:hAnsi="Times New Roman" w:cs="Times New Roman"/>
          <w:b/>
          <w:sz w:val="17"/>
        </w:rPr>
        <w:t xml:space="preserve">1.4. Grunty użytkowane wieczyście </w:t>
      </w:r>
    </w:p>
    <w:tbl>
      <w:tblPr>
        <w:tblStyle w:val="TableGrid"/>
        <w:tblW w:w="5620" w:type="dxa"/>
        <w:tblInd w:w="-28" w:type="dxa"/>
        <w:tblCellMar>
          <w:top w:w="0" w:type="dxa"/>
          <w:left w:w="28" w:type="dxa"/>
          <w:bottom w:w="29" w:type="dxa"/>
          <w:right w:w="82" w:type="dxa"/>
        </w:tblCellMar>
        <w:tblLook w:val="04A0" w:firstRow="1" w:lastRow="0" w:firstColumn="1" w:lastColumn="0" w:noHBand="0" w:noVBand="1"/>
      </w:tblPr>
      <w:tblGrid>
        <w:gridCol w:w="1921"/>
        <w:gridCol w:w="1637"/>
        <w:gridCol w:w="2062"/>
      </w:tblGrid>
      <w:tr w:rsidR="00A81C6E">
        <w:trPr>
          <w:trHeight w:val="197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Treść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początek roku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koniec roku</w:t>
            </w:r>
          </w:p>
        </w:tc>
      </w:tr>
      <w:tr w:rsidR="00A81C6E">
        <w:trPr>
          <w:trHeight w:val="807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Wartość gruntów użytkowanych wieczyście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</w:tbl>
    <w:p w:rsidR="00A81C6E" w:rsidRDefault="00466A6E">
      <w:pPr>
        <w:numPr>
          <w:ilvl w:val="1"/>
          <w:numId w:val="4"/>
        </w:numPr>
        <w:spacing w:after="3" w:line="261" w:lineRule="auto"/>
        <w:ind w:right="8312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5.Wartość nieamortyzowanych lub nieumarzanych przez jednostkę środków trwałych, używanych na podstawie umów najmu, dzierżawy i innych umów, w tym z tytułu umów leasingu </w:t>
      </w:r>
    </w:p>
    <w:tbl>
      <w:tblPr>
        <w:tblStyle w:val="TableGrid"/>
        <w:tblW w:w="7152" w:type="dxa"/>
        <w:tblInd w:w="-28" w:type="dxa"/>
        <w:tblCellMar>
          <w:top w:w="0" w:type="dxa"/>
          <w:left w:w="28" w:type="dxa"/>
          <w:bottom w:w="12" w:type="dxa"/>
          <w:right w:w="29" w:type="dxa"/>
        </w:tblCellMar>
        <w:tblLook w:val="04A0" w:firstRow="1" w:lastRow="0" w:firstColumn="1" w:lastColumn="0" w:noHBand="0" w:noVBand="1"/>
      </w:tblPr>
      <w:tblGrid>
        <w:gridCol w:w="3559"/>
        <w:gridCol w:w="2062"/>
        <w:gridCol w:w="1532"/>
      </w:tblGrid>
      <w:tr w:rsidR="00A81C6E">
        <w:trPr>
          <w:trHeight w:val="413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Wyszczególnienie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A81C6E" w:rsidRDefault="00466A6E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początek roku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bottom"/>
          </w:tcPr>
          <w:p w:rsidR="00A81C6E" w:rsidRDefault="00466A6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koniec roku</w:t>
            </w:r>
          </w:p>
        </w:tc>
      </w:tr>
      <w:tr w:rsidR="00A81C6E">
        <w:trPr>
          <w:trHeight w:val="1210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Wartość nieamortyzowanych lub nieumarzanych przez jednostkę środków trwałych, używanych na podstawie umów najmu, dzierżawy i innych umów, w tym z tytułu umów leasingu (ewidencja pozabilansowa)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114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1C6E" w:rsidRDefault="00466A6E">
            <w:pPr>
              <w:spacing w:after="379"/>
            </w:pPr>
            <w:r>
              <w:rPr>
                <w:rFonts w:ascii="Times New Roman" w:eastAsia="Times New Roman" w:hAnsi="Times New Roman" w:cs="Times New Roman"/>
                <w:sz w:val="15"/>
              </w:rPr>
              <w:t>w tym:</w:t>
            </w:r>
          </w:p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Grunty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571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1C6E" w:rsidRDefault="00466A6E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Budynki, lokale i obiekty inżynierii lądowej i wodnej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57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Urządzenia techniczne i maszyny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571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Środki transportu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571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Inne środki trwałe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</w:tbl>
    <w:p w:rsidR="00A81C6E" w:rsidRDefault="00466A6E">
      <w:pPr>
        <w:numPr>
          <w:ilvl w:val="2"/>
          <w:numId w:val="4"/>
        </w:numPr>
        <w:spacing w:after="3" w:line="261" w:lineRule="auto"/>
        <w:ind w:right="882" w:hanging="470"/>
      </w:pPr>
      <w:r>
        <w:rPr>
          <w:rFonts w:ascii="Times New Roman" w:eastAsia="Times New Roman" w:hAnsi="Times New Roman" w:cs="Times New Roman"/>
          <w:b/>
          <w:sz w:val="17"/>
        </w:rPr>
        <w:t>Liczba i wartość posiadanych akcji i udziałów</w:t>
      </w:r>
    </w:p>
    <w:p w:rsidR="00A81C6E" w:rsidRDefault="00466A6E">
      <w:pPr>
        <w:spacing w:after="0"/>
        <w:ind w:right="131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14751" w:type="dxa"/>
        <w:tblInd w:w="-28" w:type="dxa"/>
        <w:tblCellMar>
          <w:top w:w="22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1921"/>
        <w:gridCol w:w="1637"/>
        <w:gridCol w:w="2062"/>
        <w:gridCol w:w="1532"/>
        <w:gridCol w:w="1668"/>
        <w:gridCol w:w="1085"/>
        <w:gridCol w:w="298"/>
        <w:gridCol w:w="1382"/>
        <w:gridCol w:w="1498"/>
        <w:gridCol w:w="1668"/>
      </w:tblGrid>
      <w:tr w:rsidR="00A81C6E">
        <w:trPr>
          <w:trHeight w:val="1344"/>
        </w:trPr>
        <w:tc>
          <w:tcPr>
            <w:tcW w:w="3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Nazwa podmiotów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Liczba udziałów / akcji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329" w:hanging="13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Udział w kapitale własnym (%)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Wartość brutto udziałów/ akcji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left="49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Odpis</w:t>
            </w:r>
          </w:p>
        </w:tc>
        <w:tc>
          <w:tcPr>
            <w:tcW w:w="2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Wartość bilansowa udziałów/akcji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 w:line="262" w:lineRule="auto"/>
              <w:ind w:left="72" w:hanging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Zysk/(strata) netto za rok zakończony dnia </w:t>
            </w:r>
          </w:p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31 grudnia poprzedniego rok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Kapitały własne na dzień 31 grudnia poprzedniego roku</w:t>
            </w:r>
          </w:p>
        </w:tc>
      </w:tr>
      <w:tr w:rsidR="00A81C6E">
        <w:trPr>
          <w:trHeight w:val="269"/>
        </w:trPr>
        <w:tc>
          <w:tcPr>
            <w:tcW w:w="3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początek roku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Nazwa podmiotu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1.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2.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…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0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202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A81C6E" w:rsidRDefault="00A81C6E"/>
        </w:tc>
        <w:tc>
          <w:tcPr>
            <w:tcW w:w="16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  <w:vAlign w:val="center"/>
          </w:tcPr>
          <w:p w:rsidR="00A81C6E" w:rsidRDefault="00A81C6E"/>
        </w:tc>
        <w:tc>
          <w:tcPr>
            <w:tcW w:w="2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A81C6E"/>
        </w:tc>
      </w:tr>
      <w:tr w:rsidR="00A81C6E">
        <w:trPr>
          <w:trHeight w:val="1310"/>
        </w:trPr>
        <w:tc>
          <w:tcPr>
            <w:tcW w:w="3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Nazwa podmiotów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Liczba udziałów / akcji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329" w:hanging="13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Udział w kapitale własnym (%)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Wartość brutto udziałów/ akcji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left="49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Odpis</w:t>
            </w:r>
          </w:p>
        </w:tc>
        <w:tc>
          <w:tcPr>
            <w:tcW w:w="2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A81C6E"/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Wartość bilansowa udziałów/akcji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 w:line="262" w:lineRule="auto"/>
              <w:ind w:left="72" w:hanging="1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Zysk/(strata) netto za rok zakończony dnia </w:t>
            </w:r>
          </w:p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31 grudnia poprzedniego rok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Kapitały własne na dzień 31 grudnia poprzedniego roku</w:t>
            </w:r>
          </w:p>
        </w:tc>
      </w:tr>
      <w:tr w:rsidR="00A81C6E">
        <w:trPr>
          <w:trHeight w:val="269"/>
        </w:trPr>
        <w:tc>
          <w:tcPr>
            <w:tcW w:w="3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koniec roku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A81C6E" w:rsidRDefault="00A81C6E"/>
        </w:tc>
        <w:tc>
          <w:tcPr>
            <w:tcW w:w="29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C6E" w:rsidRDefault="00A81C6E"/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Nazwa podmiotu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1.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2.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…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0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202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bottom"/>
          </w:tcPr>
          <w:p w:rsidR="00A81C6E" w:rsidRDefault="00A81C6E"/>
        </w:tc>
        <w:tc>
          <w:tcPr>
            <w:tcW w:w="16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bottom"/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  <w:vAlign w:val="center"/>
          </w:tcPr>
          <w:p w:rsidR="00A81C6E" w:rsidRDefault="00A81C6E"/>
        </w:tc>
        <w:tc>
          <w:tcPr>
            <w:tcW w:w="2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A81C6E"/>
        </w:tc>
      </w:tr>
    </w:tbl>
    <w:p w:rsidR="00A81C6E" w:rsidRDefault="00466A6E">
      <w:pPr>
        <w:numPr>
          <w:ilvl w:val="2"/>
          <w:numId w:val="4"/>
        </w:numPr>
        <w:spacing w:after="3" w:line="261" w:lineRule="auto"/>
        <w:ind w:right="882" w:hanging="470"/>
      </w:pPr>
      <w:r>
        <w:rPr>
          <w:rFonts w:ascii="Times New Roman" w:eastAsia="Times New Roman" w:hAnsi="Times New Roman" w:cs="Times New Roman"/>
          <w:b/>
          <w:sz w:val="17"/>
        </w:rPr>
        <w:t xml:space="preserve">Odpisy aktualizujące wartość należności </w:t>
      </w:r>
    </w:p>
    <w:tbl>
      <w:tblPr>
        <w:tblStyle w:val="TableGrid"/>
        <w:tblW w:w="14751" w:type="dxa"/>
        <w:tblInd w:w="-28" w:type="dxa"/>
        <w:tblCellMar>
          <w:top w:w="0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921"/>
        <w:gridCol w:w="5231"/>
        <w:gridCol w:w="1668"/>
        <w:gridCol w:w="1383"/>
        <w:gridCol w:w="1382"/>
        <w:gridCol w:w="1498"/>
        <w:gridCol w:w="1668"/>
      </w:tblGrid>
      <w:tr w:rsidR="00A81C6E">
        <w:trPr>
          <w:trHeight w:val="202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523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42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Zmiany stanu odpisów w ciągu roku obrotowego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0C0C0"/>
            <w:vAlign w:val="bottom"/>
          </w:tcPr>
          <w:p w:rsidR="00A81C6E" w:rsidRDefault="00466A6E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koniec roku</w:t>
            </w:r>
          </w:p>
        </w:tc>
      </w:tr>
      <w:tr w:rsidR="00A81C6E">
        <w:trPr>
          <w:trHeight w:val="202"/>
        </w:trPr>
        <w:tc>
          <w:tcPr>
            <w:tcW w:w="192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52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49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Wyszczególnienie odpisów z tytułu</w:t>
            </w:r>
          </w:p>
        </w:tc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początek roku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Zwiększenia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Wykorzystanie *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Rozwiązanie **</w:t>
            </w:r>
          </w:p>
        </w:tc>
        <w:tc>
          <w:tcPr>
            <w:tcW w:w="16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A81C6E"/>
        </w:tc>
      </w:tr>
      <w:tr w:rsidR="00A81C6E">
        <w:trPr>
          <w:trHeight w:val="290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1</w:t>
            </w:r>
          </w:p>
        </w:tc>
        <w:tc>
          <w:tcPr>
            <w:tcW w:w="523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Należności długoterminowe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90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52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w tym: należności finansowe (pożyczki zagrożone)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90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2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Należności krótkoterminowe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90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52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w tym: należności finansowe (pożyczki zagrożone)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90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3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>Należności alimentacyjne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02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Razem: </w:t>
            </w:r>
          </w:p>
        </w:tc>
        <w:tc>
          <w:tcPr>
            <w:tcW w:w="52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</w:tbl>
    <w:p w:rsidR="00A81C6E" w:rsidRDefault="00466A6E">
      <w:pPr>
        <w:spacing w:after="26"/>
        <w:ind w:left="-5" w:hanging="10"/>
      </w:pPr>
      <w:r>
        <w:rPr>
          <w:rFonts w:ascii="Book Antiqua" w:eastAsia="Book Antiqua" w:hAnsi="Book Antiqua" w:cs="Book Antiqua"/>
          <w:sz w:val="14"/>
        </w:rPr>
        <w:t xml:space="preserve">* </w:t>
      </w:r>
      <w:r>
        <w:rPr>
          <w:rFonts w:ascii="Book Antiqua" w:eastAsia="Book Antiqua" w:hAnsi="Book Antiqua" w:cs="Book Antiqua"/>
          <w:b/>
          <w:sz w:val="14"/>
          <w:u w:val="single" w:color="000000"/>
        </w:rPr>
        <w:t>Wykorzystanie odpisu</w:t>
      </w:r>
      <w:r>
        <w:rPr>
          <w:rFonts w:ascii="Book Antiqua" w:eastAsia="Book Antiqua" w:hAnsi="Book Antiqua" w:cs="Book Antiqua"/>
          <w:sz w:val="14"/>
        </w:rPr>
        <w:t xml:space="preserve"> następuje, gdy należność objęta odpisem zostanie umorzona, przedawni się lub zostanie uznana za nieściągalną (art 35b ust 3 UoR).</w:t>
      </w:r>
    </w:p>
    <w:p w:rsidR="00A81C6E" w:rsidRDefault="00466A6E">
      <w:pPr>
        <w:spacing w:after="26"/>
        <w:ind w:left="-5" w:hanging="10"/>
      </w:pPr>
      <w:r>
        <w:rPr>
          <w:rFonts w:ascii="Book Antiqua" w:eastAsia="Book Antiqua" w:hAnsi="Book Antiqua" w:cs="Book Antiqua"/>
          <w:sz w:val="14"/>
        </w:rPr>
        <w:t xml:space="preserve">** </w:t>
      </w:r>
      <w:r>
        <w:rPr>
          <w:rFonts w:ascii="Book Antiqua" w:eastAsia="Book Antiqua" w:hAnsi="Book Antiqua" w:cs="Book Antiqua"/>
          <w:b/>
          <w:sz w:val="14"/>
          <w:u w:val="single" w:color="000000"/>
        </w:rPr>
        <w:t>Rozwiązanie odpisu</w:t>
      </w:r>
      <w:r>
        <w:rPr>
          <w:rFonts w:ascii="Book Antiqua" w:eastAsia="Book Antiqua" w:hAnsi="Book Antiqua" w:cs="Book Antiqua"/>
          <w:sz w:val="14"/>
        </w:rPr>
        <w:t xml:space="preserve"> następuje, gdy ustanie przyczyna, dla której dokonano odpis aktualizujący (art 35c UoR) - nastąpiła zapłata lub utworzony odpis stał się zbędny.</w:t>
      </w:r>
    </w:p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II.1.8. Rezerwy na zobowiązania - zmiany w ciągu roku obrotowego </w:t>
      </w:r>
    </w:p>
    <w:tbl>
      <w:tblPr>
        <w:tblStyle w:val="TableGrid"/>
        <w:tblW w:w="11585" w:type="dxa"/>
        <w:tblInd w:w="-2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2062"/>
        <w:gridCol w:w="1246"/>
        <w:gridCol w:w="286"/>
        <w:gridCol w:w="1668"/>
        <w:gridCol w:w="1383"/>
        <w:gridCol w:w="1382"/>
      </w:tblGrid>
      <w:tr w:rsidR="00A81C6E">
        <w:trPr>
          <w:trHeight w:val="346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Kategoria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Stan na początek roku 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81C6E" w:rsidRDefault="00466A6E">
            <w:pPr>
              <w:spacing w:after="0"/>
              <w:ind w:left="41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Utworzone</w:t>
            </w:r>
          </w:p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Wykorzystane *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Rozwiązane **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Stan na koniec roku </w:t>
            </w:r>
          </w:p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Rezerwa na straty z tytułu udzielonych gwarancji i poręczeń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358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Rezerwy na odszkodowania z tytułu naruszenia zasady pierwszeństwa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Rezerwy za grunty wydzielone pod drogi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45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Rezerwy za wywłaszczenie nieruchomości 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550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29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Rezerwy na odszkodowania za nieruchomości </w:t>
            </w:r>
          </w:p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warszawskie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(DEKRET BIERUTA z dnia 26 października 1945r.)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38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Rezerwy na odszkodowania związane z uchwaleniem planu miejscowego zagospodarowania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36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Rezerwy za grunty zajęte pod drogi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346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6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Rezerwy za grunty przejęte pod drogi w oparciu o tzw. </w:t>
            </w:r>
          </w:p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Specustawę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370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Rezerwy na odszkodowania z tytułu bezumownego korzystania z gruntu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197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Inne rezerwy: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45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 zasiedzenie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45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zwrotu nieruchomości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45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za niedostarczenie lokalu socjalnego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5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odszkod. z tytułu decyzji sprzedażowych lokali oraz utratę wartości sprzedanych lokali, zapłatę wykupu lokalu użytkowego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wypadku (szkoda komunikacyjna, osobowa)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2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odmowy wydania zezwolenia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45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poniesionych nakładów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 w:right="2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wydania decyzji z naruszeniem prawa lub nieważności decyzji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utraty praw własności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przewlekłości postępowania sądowego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zbycia wywłaszczonej nieruchomości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45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kary umowne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35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za użytkowanie wieczyste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odszkodowanie za naruszenie dóbr osobistych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roszczenia pracownicze z tyt. rozwiązania umowy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41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odszkodowanie za szkodę wyrządzoną, nie wykonanie prawa pierwokupu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346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odszk. o unieważnienie umowy, przedłużenie okresu umowy, rozwiązanie umowy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1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odszkod. z tyt. umowy dzierżawy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2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odszkod. z tytułu utraty wartości nieruchomości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1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pozostałe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A81C6E" w:rsidRDefault="00A81C6E"/>
        </w:tc>
        <w:tc>
          <w:tcPr>
            <w:tcW w:w="28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02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RAZEM: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81C6E" w:rsidRDefault="00A81C6E"/>
        </w:tc>
        <w:tc>
          <w:tcPr>
            <w:tcW w:w="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>II.1.9. Zobowiązania długoterminowe według zapadalności</w:t>
      </w:r>
    </w:p>
    <w:tbl>
      <w:tblPr>
        <w:tblStyle w:val="TableGrid"/>
        <w:tblW w:w="7152" w:type="dxa"/>
        <w:tblInd w:w="-28" w:type="dxa"/>
        <w:tblCellMar>
          <w:top w:w="50" w:type="dxa"/>
          <w:left w:w="2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559"/>
        <w:gridCol w:w="2062"/>
        <w:gridCol w:w="1532"/>
      </w:tblGrid>
      <w:tr w:rsidR="00A81C6E">
        <w:trPr>
          <w:trHeight w:val="279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Wyszczególnienie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początek roku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koniec roku</w:t>
            </w:r>
          </w:p>
        </w:tc>
      </w:tr>
      <w:tr w:rsidR="00A81C6E">
        <w:trPr>
          <w:trHeight w:val="278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Zobowiązania finansowe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78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·            powyżej 1 roku do 3 lat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78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·            powyżej 3 do 5 lat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78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·            powyżej 5 lat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03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Pozostałe zobowiązania długoterminowe wobec jednostek powiązanych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382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·            powyżej 1 roku do 3 lat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7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·            powyżej 3 do 5 lat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78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·            powyżej 5 lat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03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Pozostałe zobowiązania długoterminowe  wobec pozostałych jednostek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382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·            powyżej 1 roku do 3 lat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78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·            powyżej 3 do 5 lat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78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·            powyżej 5 lat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78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RAZEM:                                    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</w:tbl>
    <w:p w:rsidR="00A81C6E" w:rsidRDefault="00466A6E">
      <w:pPr>
        <w:spacing w:after="138" w:line="261" w:lineRule="auto"/>
        <w:ind w:left="-3" w:right="8252" w:hanging="10"/>
      </w:pPr>
      <w:r>
        <w:rPr>
          <w:rFonts w:ascii="Times New Roman" w:eastAsia="Times New Roman" w:hAnsi="Times New Roman" w:cs="Times New Roman"/>
          <w:b/>
          <w:sz w:val="17"/>
        </w:rPr>
        <w:t>II.1.10. Kwota zobowiązań w sytuacji gdy jednostka  kwalifikuje umowy leasingu  zgodnie z przepisami podatkowymi (leasing operacyjny), a wg przepisów o rachunkowości byłby to leasing finansowy lub zwrot</w:t>
      </w:r>
      <w:r>
        <w:rPr>
          <w:rFonts w:ascii="Times New Roman" w:eastAsia="Times New Roman" w:hAnsi="Times New Roman" w:cs="Times New Roman"/>
          <w:b/>
          <w:sz w:val="17"/>
        </w:rPr>
        <w:t xml:space="preserve">ny </w:t>
      </w:r>
    </w:p>
    <w:tbl>
      <w:tblPr>
        <w:tblStyle w:val="TableGrid"/>
        <w:tblW w:w="7152" w:type="dxa"/>
        <w:tblInd w:w="-28" w:type="dxa"/>
        <w:tblCellMar>
          <w:top w:w="0" w:type="dxa"/>
          <w:left w:w="2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559"/>
        <w:gridCol w:w="2062"/>
        <w:gridCol w:w="1532"/>
      </w:tblGrid>
      <w:tr w:rsidR="00A81C6E">
        <w:trPr>
          <w:trHeight w:val="458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Tytuł zobowiązania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Stan na początek roku 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Stan na koniec roku </w:t>
            </w:r>
          </w:p>
        </w:tc>
      </w:tr>
      <w:tr w:rsidR="00A81C6E">
        <w:trPr>
          <w:trHeight w:val="481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Zobowiązania z tytułu leasingu finansowego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80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Zobowiązania z tytułu leasingu zwrotnego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502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RAZEM: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>II.1.11. Zobowiązania zabezpieczone na majątku jednostki</w:t>
      </w:r>
    </w:p>
    <w:tbl>
      <w:tblPr>
        <w:tblStyle w:val="TableGrid"/>
        <w:tblW w:w="8820" w:type="dxa"/>
        <w:tblInd w:w="-28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637"/>
        <w:gridCol w:w="547"/>
        <w:gridCol w:w="1217"/>
        <w:gridCol w:w="298"/>
        <w:gridCol w:w="1532"/>
        <w:gridCol w:w="1668"/>
      </w:tblGrid>
      <w:tr w:rsidR="00A81C6E">
        <w:trPr>
          <w:trHeight w:val="425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-44" w:right="-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Rodzaj (forma) zabezpieczenia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5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Kwota</w:t>
            </w:r>
          </w:p>
        </w:tc>
        <w:tc>
          <w:tcPr>
            <w:tcW w:w="12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2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3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 tym na aktywach</w:t>
            </w:r>
          </w:p>
        </w:tc>
      </w:tr>
      <w:tr w:rsidR="00A81C6E">
        <w:trPr>
          <w:trHeight w:val="202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A81C6E"/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zobowiązania</w:t>
            </w:r>
          </w:p>
        </w:tc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12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zabezpieczenia</w:t>
            </w:r>
          </w:p>
        </w:tc>
        <w:tc>
          <w:tcPr>
            <w:tcW w:w="2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trwałych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obrotowych</w:t>
            </w:r>
          </w:p>
        </w:tc>
      </w:tr>
      <w:tr w:rsidR="00A81C6E">
        <w:trPr>
          <w:trHeight w:val="202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początek roku: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5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12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2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32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Hipoteka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2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91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Zastaw (w tym rejestrowy lub skarbowy)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5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2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Weksel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5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2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Inne, w tym: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2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…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5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2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…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5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81C6E" w:rsidRDefault="00A81C6E"/>
        </w:tc>
        <w:tc>
          <w:tcPr>
            <w:tcW w:w="121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02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RAZEM: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81C6E" w:rsidRDefault="00A81C6E"/>
        </w:tc>
        <w:tc>
          <w:tcPr>
            <w:tcW w:w="12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A81C6E" w:rsidRDefault="00A81C6E"/>
        </w:tc>
        <w:tc>
          <w:tcPr>
            <w:tcW w:w="2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koniec  roku: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5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12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2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FBFBF"/>
          </w:tcPr>
          <w:p w:rsidR="00A81C6E" w:rsidRDefault="00A81C6E"/>
        </w:tc>
        <w:tc>
          <w:tcPr>
            <w:tcW w:w="320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Hipoteka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2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91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Zastaw (w tym rejestrowy lub skarbowy)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5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2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Weksel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5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2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5"/>
              </w:rPr>
              <w:t>Inne, w tym: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2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…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5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2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…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5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81C6E" w:rsidRDefault="00A81C6E"/>
        </w:tc>
        <w:tc>
          <w:tcPr>
            <w:tcW w:w="121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A81C6E" w:rsidRDefault="00A81C6E"/>
        </w:tc>
        <w:tc>
          <w:tcPr>
            <w:tcW w:w="29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RAZEM: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A81C6E" w:rsidRDefault="00A81C6E"/>
        </w:tc>
        <w:tc>
          <w:tcPr>
            <w:tcW w:w="12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A81C6E" w:rsidRDefault="00A81C6E"/>
        </w:tc>
        <w:tc>
          <w:tcPr>
            <w:tcW w:w="2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</w:tbl>
    <w:p w:rsidR="00A81C6E" w:rsidRDefault="00466A6E">
      <w:pPr>
        <w:spacing w:after="3" w:line="261" w:lineRule="auto"/>
        <w:ind w:left="-3" w:right="8061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II.1.12.a. Pozabilansowe zabezpieczenia, w tym również udzielone przez jednostkę gwarancje i poręczenia, także wekslowe </w:t>
      </w:r>
    </w:p>
    <w:tbl>
      <w:tblPr>
        <w:tblStyle w:val="TableGrid"/>
        <w:tblW w:w="8820" w:type="dxa"/>
        <w:tblInd w:w="-28" w:type="dxa"/>
        <w:tblCellMar>
          <w:top w:w="12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559"/>
        <w:gridCol w:w="2062"/>
        <w:gridCol w:w="1532"/>
        <w:gridCol w:w="1668"/>
      </w:tblGrid>
      <w:tr w:rsidR="00A81C6E">
        <w:trPr>
          <w:trHeight w:val="958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Tytuł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Stan na początek roku 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koniec roku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Opis charakteru zobowiązania </w:t>
            </w:r>
          </w:p>
          <w:p w:rsidR="00A81C6E" w:rsidRDefault="00466A6E">
            <w:pPr>
              <w:spacing w:after="2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warunkowego, w tym </w:t>
            </w:r>
          </w:p>
          <w:p w:rsidR="00A81C6E" w:rsidRDefault="00466A6E">
            <w:pPr>
              <w:spacing w:after="2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czy zabezpieczone na </w:t>
            </w:r>
          </w:p>
          <w:p w:rsidR="00A81C6E" w:rsidRDefault="00466A6E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majątku jednostki</w:t>
            </w:r>
          </w:p>
        </w:tc>
      </w:tr>
      <w:tr w:rsidR="00A81C6E">
        <w:trPr>
          <w:trHeight w:val="382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Zabezpieczenia w postaci weksli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70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Poręczenia</w:t>
            </w:r>
            <w:r>
              <w:rPr>
                <w:rFonts w:ascii="Times New Roman" w:eastAsia="Times New Roman" w:hAnsi="Times New Roman" w:cs="Times New Roman"/>
                <w:sz w:val="15"/>
              </w:rPr>
              <w:t>, w tym: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8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utworzone rezerwy bilansowe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91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Gwarancje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90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Kaucje i wadia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90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Nieuznane roszczenia wierzycieli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90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Z tytułu zawartej, lecz jeszcze niewykonanej umowy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90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Umowy wsparcia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90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Inne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90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Razem: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A81C6E"/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II.1.12.b. Wykaz spraw spornych z tytułu zobowiązań warunkowych </w:t>
      </w:r>
    </w:p>
    <w:tbl>
      <w:tblPr>
        <w:tblStyle w:val="TableGrid"/>
        <w:tblW w:w="7152" w:type="dxa"/>
        <w:tblInd w:w="-28" w:type="dxa"/>
        <w:tblCellMar>
          <w:top w:w="12" w:type="dxa"/>
          <w:left w:w="2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559"/>
        <w:gridCol w:w="2062"/>
        <w:gridCol w:w="1532"/>
      </w:tblGrid>
      <w:tr w:rsidR="00A81C6E">
        <w:trPr>
          <w:trHeight w:val="202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Kategoria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Stan na początek roku 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Stan na koniec roku </w:t>
            </w:r>
          </w:p>
        </w:tc>
      </w:tr>
      <w:tr w:rsidR="00A81C6E">
        <w:trPr>
          <w:trHeight w:val="370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na odszkodowania z tytułu naruszenia zasady pierwszeństwa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za grunty wydzielone pod drogi 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</w:tr>
      <w:tr w:rsidR="00A81C6E">
        <w:trPr>
          <w:trHeight w:val="245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za wywłaszczenie nieruchomości  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</w:tr>
      <w:tr w:rsidR="00A81C6E">
        <w:trPr>
          <w:trHeight w:val="382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na odszkodowania za nieruchomości warszawskie </w:t>
            </w:r>
          </w:p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(DEKRET BIERUTA z dnia 26 października 1945r.)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03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na odszkodowania związane z uchwaleniem planu miejscowego zagospodarowania 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</w:tr>
      <w:tr w:rsidR="00A81C6E">
        <w:trPr>
          <w:trHeight w:val="202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za grunty zajęte pod drogi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46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za grunty przejęte pod drogi w oparciu o tzw. </w:t>
            </w:r>
          </w:p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Specustawę 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358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na odszkodowania z tytułu bezumownego korzystania z gruntu 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02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Inne sprawy sporne: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 zasiedzenie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zwrotu nieruchomości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za niedostarczenie lokalu socjalnego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571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odszkod. z tytułu decyzji sprzedażowych lokali oraz utratę wartości sprzedanych lokali, zapłatę wykupu lokalu użytkowego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wypadku (szkoda komunikacyjna, osobowa)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odmowy wydania zezwolenia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poniesionych nakładów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40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wydania decyzji z naruszeniem prawa lub nieważności decyzji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utraty praw własności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przewlekłości postępowania sądowego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zbycia wywłaszczonej nieruchomości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kary umowne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za użytkowanie wieczyste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odszkodowanie za naruszenie dóbr osobistych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roszczenia pracownicze z tyt. rozwiązania umowy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0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odszkodowanie za szkodę wyrządzoną, nie wykonanie prawa pierwokupu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0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odszk. o unieważnienie umowy, przedłużenie okresu umowy, rozwiązanie umowy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odszkod. z tyt. umowy dzierżawy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odszkod. z tytułu utraty wartości nieruchomości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pozostałe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RAZEM: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</w:tbl>
    <w:p w:rsidR="00A81C6E" w:rsidRDefault="00466A6E">
      <w:pPr>
        <w:spacing w:after="28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II.1.13.a. Rozliczenia międzyokresowe czynne </w:t>
      </w:r>
    </w:p>
    <w:tbl>
      <w:tblPr>
        <w:tblStyle w:val="TableGrid"/>
        <w:tblW w:w="7152" w:type="dxa"/>
        <w:tblInd w:w="-28" w:type="dxa"/>
        <w:tblCellMar>
          <w:top w:w="43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2062"/>
        <w:gridCol w:w="1532"/>
      </w:tblGrid>
      <w:tr w:rsidR="00A81C6E">
        <w:trPr>
          <w:trHeight w:val="324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Rozliczenia międzyokresowe czynne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początek roku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koniec roku</w:t>
            </w:r>
          </w:p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 długoterminowe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828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Czynne rozliczenia międzyokresowe kosztów stanowiące różnicę między wartością otrzymanych finansowych składników aktywów a zobowiązaniem zapłaty za nie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Druki komunikacyjne i tablice rejestracyjne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Koszty konserwacji i remontów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25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Koszty mediów, dystrybucja energii (dot. oświetlenia ulic, sygnalizacji świetlnej,..)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80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Licencje, opłaty serwisowe, wsparcie techniczne (programy komputerowe)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Abonamenty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Ubezpieczenia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Prenumeraty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Najem lokali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Inne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 krótkoterminowe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883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Czynne rozliczenia międzyokresowe kosztów stanowiące różnicę między wartością otrzymanych finansowych składników aktywów a zobowiązaniem zapłaty za nie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Druki komunikacyjne i tablice rejestracyjne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Koszty konserwacji i remontów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1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Koszty mediów, dystrybucja energii (dot. oświetlenia ulic, sygnalizacji świetlnej,..)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</w:tr>
      <w:tr w:rsidR="00A81C6E">
        <w:trPr>
          <w:trHeight w:val="5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Licencje, opłaty serwisowe, wsparcie techniczne (programy komputerowe)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Abonamenty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Ubezpieczenia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Prenumeraty, publikatory aktów prawnych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</w:tr>
      <w:tr w:rsidR="00A81C6E">
        <w:trPr>
          <w:trHeight w:val="269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Najem lokali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95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Inne (zakup czasu antenowego, opłata za karty parkingowe, znaczki pocztowe, ubezp. wolontariatu, opłaty za wyk. badań fizykochem.,plakaty, zaproszenia, ogłoszenia, itp.)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II.1.13.b. Rozliczenia międzyokresowe przychodów i rozliczenia międzyokresowe bierne </w:t>
      </w:r>
    </w:p>
    <w:tbl>
      <w:tblPr>
        <w:tblStyle w:val="TableGrid"/>
        <w:tblW w:w="7152" w:type="dxa"/>
        <w:tblInd w:w="-28" w:type="dxa"/>
        <w:tblCellMar>
          <w:top w:w="47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559"/>
        <w:gridCol w:w="2062"/>
        <w:gridCol w:w="1532"/>
      </w:tblGrid>
      <w:tr w:rsidR="00A81C6E">
        <w:trPr>
          <w:trHeight w:val="324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Rozliczenia międzyokresowe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początek roku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Stan na koniec roku </w:t>
            </w:r>
          </w:p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Rozliczenia międzyokresowe przychodów, w tym: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przychody za zajęcie pasa drogowego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przychody z tyt. użytkowania wieczystego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1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przychody z tyt. przekształcenia użytkowania wieczystego w prawo własności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wykup lokali, budynków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5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sprzedaż lokali mieszkaniowych, użytkowych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wpłaty z ZUS za  pensjonariuszy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pozostałe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Rozliczenia międzyokresowe kosztów bierne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naprawy gwarancyjne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usługi wykonane a niezafakturowane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w tym: koszty mediów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pozostałe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</w:tbl>
    <w:p w:rsidR="00A81C6E" w:rsidRDefault="00466A6E">
      <w:pPr>
        <w:spacing w:after="3" w:line="261" w:lineRule="auto"/>
        <w:ind w:left="-3" w:right="8507" w:hanging="10"/>
      </w:pPr>
      <w:r>
        <w:rPr>
          <w:rFonts w:ascii="Times New Roman" w:eastAsia="Times New Roman" w:hAnsi="Times New Roman" w:cs="Times New Roman"/>
          <w:b/>
          <w:sz w:val="17"/>
        </w:rPr>
        <w:t>II.1.14. Łączna kwota otrzymanych przez jednostkę gwarancji i poręczeń niewykazanych w bilansie</w:t>
      </w:r>
    </w:p>
    <w:tbl>
      <w:tblPr>
        <w:tblStyle w:val="TableGrid"/>
        <w:tblW w:w="7152" w:type="dxa"/>
        <w:tblInd w:w="-28" w:type="dxa"/>
        <w:tblCellMar>
          <w:top w:w="89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559"/>
        <w:gridCol w:w="2062"/>
        <w:gridCol w:w="1532"/>
      </w:tblGrid>
      <w:tr w:rsidR="00A81C6E">
        <w:trPr>
          <w:trHeight w:val="358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A81C6E"/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Stan na początek roku 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8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koniec roku</w:t>
            </w:r>
          </w:p>
        </w:tc>
      </w:tr>
      <w:tr w:rsidR="00A81C6E">
        <w:trPr>
          <w:trHeight w:val="358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Otrzymane poręczenia i gwarancje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358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Razem: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>II.1.15. Informacja o kwocie wypłaconych środków pieniężnych na świadczenia pracownicze*</w:t>
      </w:r>
    </w:p>
    <w:tbl>
      <w:tblPr>
        <w:tblStyle w:val="TableGrid"/>
        <w:tblW w:w="7152" w:type="dxa"/>
        <w:tblInd w:w="-28" w:type="dxa"/>
        <w:tblCellMar>
          <w:top w:w="102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3559"/>
        <w:gridCol w:w="2062"/>
        <w:gridCol w:w="1532"/>
      </w:tblGrid>
      <w:tr w:rsidR="00A81C6E">
        <w:trPr>
          <w:trHeight w:val="492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Wyszczególnienie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337" w:right="330" w:firstLine="16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Kwota wypłaty  w roku poprzednim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162" w:right="121" w:firstLine="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Kwota wypłaty  w roku bieżącym</w:t>
            </w:r>
          </w:p>
        </w:tc>
      </w:tr>
      <w:tr w:rsidR="00A81C6E">
        <w:trPr>
          <w:trHeight w:val="728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Świadczenia pracownicze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72 355,21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15 260,24</w:t>
            </w:r>
          </w:p>
        </w:tc>
      </w:tr>
    </w:tbl>
    <w:p w:rsidR="00A81C6E" w:rsidRDefault="00466A6E">
      <w:pPr>
        <w:spacing w:after="0" w:line="265" w:lineRule="auto"/>
        <w:ind w:right="6634"/>
      </w:pPr>
      <w:r>
        <w:rPr>
          <w:rFonts w:ascii="Times New Roman" w:eastAsia="Times New Roman" w:hAnsi="Times New Roman" w:cs="Times New Roman"/>
          <w:sz w:val="15"/>
        </w:rPr>
        <w:t>* płatności wynikające z obowiązku wykonania świadczeń na rzecz pracowników (odprawy emerytalne i rentowe, odprawy pośmiertne, ekwiwalent za urlop, nagrody jubileuszowe)</w:t>
      </w:r>
    </w:p>
    <w:p w:rsidR="00A81C6E" w:rsidRDefault="00466A6E">
      <w:pPr>
        <w:spacing w:after="0"/>
      </w:pPr>
      <w:r>
        <w:br w:type="page"/>
      </w:r>
    </w:p>
    <w:p w:rsidR="00A81C6E" w:rsidRDefault="00466A6E">
      <w:pPr>
        <w:spacing w:after="187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>II.1.16. Inne informacje</w:t>
      </w:r>
    </w:p>
    <w:p w:rsidR="00A81C6E" w:rsidRDefault="00466A6E">
      <w:pPr>
        <w:spacing w:after="3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>II.1.16.a. Inwestycje finansowe długoterminowe i krótkoterm</w:t>
      </w:r>
      <w:r>
        <w:rPr>
          <w:rFonts w:ascii="Times New Roman" w:eastAsia="Times New Roman" w:hAnsi="Times New Roman" w:cs="Times New Roman"/>
          <w:b/>
          <w:sz w:val="17"/>
        </w:rPr>
        <w:t>inowe - zmiany w ciągu roku obrotowego</w:t>
      </w:r>
    </w:p>
    <w:tbl>
      <w:tblPr>
        <w:tblStyle w:val="TableGrid"/>
        <w:tblW w:w="14751" w:type="dxa"/>
        <w:tblInd w:w="-28" w:type="dxa"/>
        <w:tblCellMar>
          <w:top w:w="78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1637"/>
        <w:gridCol w:w="2062"/>
        <w:gridCol w:w="1532"/>
        <w:gridCol w:w="1668"/>
        <w:gridCol w:w="1383"/>
        <w:gridCol w:w="1382"/>
        <w:gridCol w:w="1498"/>
        <w:gridCol w:w="1668"/>
      </w:tblGrid>
      <w:tr w:rsidR="00A81C6E">
        <w:trPr>
          <w:trHeight w:val="751"/>
        </w:trPr>
        <w:tc>
          <w:tcPr>
            <w:tcW w:w="19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Aktywa finansowe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Długoterminowe aktywa finansowe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Nieruchomości inwestycyjne</w:t>
            </w:r>
          </w:p>
        </w:tc>
        <w:tc>
          <w:tcPr>
            <w:tcW w:w="42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Krótkoterminowe aktywa finansowe </w:t>
            </w:r>
          </w:p>
        </w:tc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</w:t>
            </w:r>
          </w:p>
        </w:tc>
      </w:tr>
      <w:tr w:rsidR="00A81C6E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Akcje i udziały 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Inne papiery wartościowe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Inne długoterminowe aktywa finansowe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Środki trwałe będące w użytkowaniu przez Spółkę </w:t>
            </w:r>
          </w:p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do czasu wniesienia ich aportem do Spółki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Akcje i udziały 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Inne papiery wartościowe  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Inne krótkoterminowe aktywa finansowe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58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początek roku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458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Zwiększenia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458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-  przeszacowanie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</w:tr>
      <w:tr w:rsidR="00A81C6E">
        <w:trPr>
          <w:trHeight w:val="458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-  nabycie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</w:tr>
      <w:tr w:rsidR="00A81C6E">
        <w:trPr>
          <w:trHeight w:val="45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-  przeniesienie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</w:tr>
      <w:tr w:rsidR="00A81C6E">
        <w:trPr>
          <w:trHeight w:val="458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Zmniejszenia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458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-  odpisy z tytułu trwałej utraty wartości 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</w:tr>
      <w:tr w:rsidR="00A81C6E">
        <w:trPr>
          <w:trHeight w:val="458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-  przeszacowanie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</w:tr>
      <w:tr w:rsidR="00A81C6E">
        <w:trPr>
          <w:trHeight w:val="458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-  sprzedaż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</w:tr>
      <w:tr w:rsidR="00A81C6E">
        <w:trPr>
          <w:trHeight w:val="459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-  likwidacja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</w:tr>
      <w:tr w:rsidR="00A81C6E">
        <w:trPr>
          <w:trHeight w:val="458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-  przeniesienie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1C6E" w:rsidRDefault="00A81C6E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0,00</w:t>
            </w:r>
          </w:p>
        </w:tc>
      </w:tr>
      <w:tr w:rsidR="00A81C6E">
        <w:trPr>
          <w:trHeight w:val="458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koniec roku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II.1.16.b. Należności krótkoterminowe netto </w:t>
      </w:r>
    </w:p>
    <w:tbl>
      <w:tblPr>
        <w:tblStyle w:val="TableGrid"/>
        <w:tblW w:w="7152" w:type="dxa"/>
        <w:tblInd w:w="-28" w:type="dxa"/>
        <w:tblCellMar>
          <w:top w:w="0" w:type="dxa"/>
          <w:left w:w="28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3559"/>
        <w:gridCol w:w="2062"/>
        <w:gridCol w:w="1532"/>
      </w:tblGrid>
      <w:tr w:rsidR="00A81C6E">
        <w:trPr>
          <w:trHeight w:val="382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Kategoria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Stan na początek roku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Stan na koniec roku </w:t>
            </w:r>
          </w:p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Należności z tytułu dostaw i usług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Należności od budżetów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45,80</w:t>
            </w:r>
          </w:p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Należności z tytułu ubezpieczeń i innych świadczeń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Pozostałe należności, w tym: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159,50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22,00</w:t>
            </w:r>
          </w:p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należności dochodzone na drodze sądowej (wartość netto)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wartość brutto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5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34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odpis aktualizujący wartość należności dochodzonych na drodze sądowej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z tytułu pożyczek mieszkaniowych.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dochody budżetowe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wadia i kaucje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Inne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159,50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22,00</w:t>
            </w:r>
          </w:p>
        </w:tc>
      </w:tr>
      <w:tr w:rsidR="00A81C6E">
        <w:trPr>
          <w:trHeight w:val="40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Rozliczenia z tytułu środków na wydatki budżetowe i z tytułu dochodów budżetowych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Razem: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159,50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67,80</w:t>
            </w:r>
          </w:p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>II.2.1. Odpisy aktualizujące wartość zapasów</w:t>
      </w:r>
    </w:p>
    <w:tbl>
      <w:tblPr>
        <w:tblStyle w:val="TableGrid"/>
        <w:tblW w:w="7152" w:type="dxa"/>
        <w:tblInd w:w="-28" w:type="dxa"/>
        <w:tblCellMar>
          <w:top w:w="0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59"/>
        <w:gridCol w:w="3593"/>
      </w:tblGrid>
      <w:tr w:rsidR="00A81C6E">
        <w:trPr>
          <w:trHeight w:val="480"/>
        </w:trPr>
        <w:tc>
          <w:tcPr>
            <w:tcW w:w="71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Odpisy aktualizujące wartość zapasów na dzień bilansowy wynoszą:</w:t>
            </w:r>
          </w:p>
        </w:tc>
      </w:tr>
      <w:tr w:rsidR="00A81C6E">
        <w:trPr>
          <w:trHeight w:val="480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początek roku</w:t>
            </w:r>
          </w:p>
        </w:tc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koniec roku obrotowego</w:t>
            </w:r>
          </w:p>
        </w:tc>
      </w:tr>
      <w:tr w:rsidR="00A81C6E">
        <w:trPr>
          <w:trHeight w:val="480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>II.2.2. Koszt wytworzenia środków trwałych w budowie poniesiony w okresie</w:t>
      </w:r>
    </w:p>
    <w:p w:rsidR="00A81C6E" w:rsidRDefault="00466A6E">
      <w:pPr>
        <w:spacing w:after="10"/>
        <w:ind w:right="10103"/>
        <w:jc w:val="center"/>
      </w:pPr>
      <w:r>
        <w:rPr>
          <w:rFonts w:ascii="Times New Roman" w:eastAsia="Times New Roman" w:hAnsi="Times New Roman" w:cs="Times New Roman"/>
          <w:sz w:val="17"/>
        </w:rPr>
        <w:t>( środki trwałe wytworzone siłami własnymi )</w:t>
      </w:r>
    </w:p>
    <w:tbl>
      <w:tblPr>
        <w:tblStyle w:val="TableGrid"/>
        <w:tblW w:w="7152" w:type="dxa"/>
        <w:tblInd w:w="-28" w:type="dxa"/>
        <w:tblCellMar>
          <w:top w:w="69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59"/>
        <w:gridCol w:w="2062"/>
        <w:gridCol w:w="1532"/>
      </w:tblGrid>
      <w:tr w:rsidR="00A81C6E">
        <w:trPr>
          <w:trHeight w:val="458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Treść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Rok poprzedni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Rok obrotowy</w:t>
            </w:r>
          </w:p>
        </w:tc>
      </w:tr>
      <w:tr w:rsidR="00A81C6E">
        <w:trPr>
          <w:trHeight w:val="458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Środki trwałe oddane do użytkowania na dzień bilansowy: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58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Środki trwałe w budowie na dzień bilansowy: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917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26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w tym: </w:t>
            </w:r>
          </w:p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skapitalizowane odsetki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58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skapitalizowane różnice kursowe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>II.2.3. Przychody lub koszty o nadzwyczajnej wartości lub które wystąpiły incydentalnie</w:t>
      </w:r>
    </w:p>
    <w:tbl>
      <w:tblPr>
        <w:tblStyle w:val="TableGrid"/>
        <w:tblW w:w="5620" w:type="dxa"/>
        <w:tblInd w:w="-28" w:type="dxa"/>
        <w:tblCellMar>
          <w:top w:w="20" w:type="dxa"/>
          <w:left w:w="25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921"/>
        <w:gridCol w:w="1637"/>
        <w:gridCol w:w="2062"/>
      </w:tblGrid>
      <w:tr w:rsidR="00A81C6E">
        <w:trPr>
          <w:trHeight w:val="387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Obroty roku poprzedniego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Obroty roku bieżącego</w:t>
            </w:r>
          </w:p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Przychody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36 867,63</w:t>
            </w:r>
          </w:p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o nadzwyczajnej wartości 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w tym: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5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które wystąpiły incydentalnie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36 867,63</w:t>
            </w:r>
          </w:p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w tym: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częściowe zwolnienie ze składek ZUS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36 867,63</w:t>
            </w:r>
          </w:p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Koszty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4 969,72</w:t>
            </w:r>
          </w:p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o nadzwyczajnej wartości 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w tym: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które wystąpiły incydentalnie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4 969,72</w:t>
            </w:r>
          </w:p>
        </w:tc>
      </w:tr>
      <w:tr w:rsidR="00A81C6E">
        <w:trPr>
          <w:trHeight w:val="325"/>
        </w:trPr>
        <w:tc>
          <w:tcPr>
            <w:tcW w:w="1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w tym: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3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koszty związane z epidemią COVID-19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4 969,72</w:t>
            </w:r>
          </w:p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24"/>
        </w:trPr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>2.4. Informacja o kwocie należności z tytułu podatków realizowanych przez organy podatkowe podległe ministrowi właściwemu do spraw finansów publicznych wykazywanych w sprawozdaniu z wykonania planu dochodów budżetowych</w:t>
      </w:r>
    </w:p>
    <w:tbl>
      <w:tblPr>
        <w:tblStyle w:val="TableGrid"/>
        <w:tblW w:w="8820" w:type="dxa"/>
        <w:tblInd w:w="-28" w:type="dxa"/>
        <w:tblCellMar>
          <w:top w:w="96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3593"/>
        <w:gridCol w:w="1668"/>
      </w:tblGrid>
      <w:tr w:rsidR="00A81C6E">
        <w:trPr>
          <w:trHeight w:val="828"/>
        </w:trPr>
        <w:tc>
          <w:tcPr>
            <w:tcW w:w="71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Kwota należności z tytułu podatków re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>alizowanych przez organy podatkowe podległe ministrowi własciwemu do spraw finansów publicznych wykazywanych w sprawozdaniu z wykonania planu dochodów budżetowych</w:t>
            </w:r>
          </w:p>
        </w:tc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0"/>
              <w:jc w:val="center"/>
            </w:pPr>
            <w:r>
              <w:rPr>
                <w:rFonts w:ascii="Book Antiqua" w:eastAsia="Book Antiqua" w:hAnsi="Book Antiqua" w:cs="Book Antiqua"/>
                <w:b/>
                <w:sz w:val="15"/>
              </w:rPr>
              <w:t>Uwagi</w:t>
            </w:r>
          </w:p>
        </w:tc>
      </w:tr>
      <w:tr w:rsidR="00A81C6E">
        <w:trPr>
          <w:trHeight w:val="370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początek roku</w:t>
            </w:r>
          </w:p>
        </w:tc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na koniec roku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3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</w:tbl>
    <w:p w:rsidR="00A81C6E" w:rsidRDefault="00466A6E">
      <w:r>
        <w:br w:type="page"/>
      </w:r>
    </w:p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>II.2.5. Inne informacje</w:t>
      </w:r>
    </w:p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II.2.5.a. Struktura przychodów </w:t>
      </w:r>
    </w:p>
    <w:tbl>
      <w:tblPr>
        <w:tblStyle w:val="TableGrid"/>
        <w:tblpPr w:vertAnchor="text" w:tblpX="-28" w:tblpY="57"/>
        <w:tblOverlap w:val="never"/>
        <w:tblW w:w="10203" w:type="dxa"/>
        <w:tblInd w:w="0" w:type="dxa"/>
        <w:tblCellMar>
          <w:top w:w="0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7152"/>
        <w:gridCol w:w="1668"/>
        <w:gridCol w:w="1383"/>
      </w:tblGrid>
      <w:tr w:rsidR="00A81C6E">
        <w:trPr>
          <w:trHeight w:val="202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Struktura przychodów (RZiS)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Obroty roku poprzedniego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A81C6E"/>
        </w:tc>
      </w:tr>
      <w:tr w:rsidR="00A81C6E">
        <w:trPr>
          <w:trHeight w:val="214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Przychody netto ze sprzedaży produktów </w:t>
            </w:r>
            <w:r>
              <w:rPr>
                <w:rFonts w:ascii="Times New Roman" w:eastAsia="Times New Roman" w:hAnsi="Times New Roman" w:cs="Times New Roman"/>
                <w:sz w:val="14"/>
              </w:rPr>
              <w:t>w tym: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109 745,14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bieżącego</w:t>
            </w:r>
          </w:p>
          <w:p w:rsidR="00A81C6E" w:rsidRDefault="00466A6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72 271,80</w:t>
            </w:r>
          </w:p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przychody z najmu i dzierżawy mienia związane z działalnością statutową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opłaty za zarząd i użytkowanie wieczyste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przychody z tyt. opłaty za bezumowne korzystanie z gruntu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przychody z tyt. opłat za żywienie związane z działalnością statutową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109 745,14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71 902,10</w:t>
            </w:r>
          </w:p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sprzedaż usług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369,70</w:t>
            </w:r>
          </w:p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dotacje przedmiotowe i podmiotowe na pierwsze wyposażenie dla samorządowych zakładów budżetowych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przychody z tytułu inwestycji liniowych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02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inne (służebność gruntowa, rekompensata z tyt. utraty wartości nieruchomości, itd.)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02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Zmiana stanu produktów (zwiększenie-wartość dodatnia, zmniejszenie-wartość ujemna)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02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Koszt wytworzenia produktów na własne potrzeby jednostki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02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Przychody netto ze sprzedaży towarów i materiałów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02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Dotacje na finansowanie działalności podstawowej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02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Przychody z tytułu dochodów budżetowych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168,82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0,00</w:t>
            </w:r>
          </w:p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Podatki i opłaty lokalne, w tym: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podatek od nieruchomości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podatek od środków transportu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podatek od czynności cywilno-prawnych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podatek rolny, leśny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opłata targowa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opłata skarbowa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inne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Udziały w podatkach stanowiących dochód budżetu państwa, w tym: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udział w podatku dochodowym od osób fizycznych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udział w podatku dochodowym od osób prawnych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Przychody z tytułu dotacji i subwencji, w tym: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przychody z tytułu dotacji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przychody z tytułu subwencji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Pozostałe przychody, w tym: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168,82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przychody związane z realizacją zadań z zakresu administracji rządowej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przychody z tyt. odszkodowań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przychody z tyt. opłat za pobyt (DPS, DDz, żłobki, przedszkola…)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przychody z tyt. opłat za strefę płatnego parkowania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przychody z tyt. mandatów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przychody z tyt. opłat i kar za usuwanie drzew i krzewów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przychody z tytułu porozumień między gminami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przychody z tytułu zezwoleń na sprzedaż alkoholu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przychody z tyt. opłat komunikacyjnych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przychody z tyt. zajęcia pasa drogowego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przychody z tytułu zwrotu kosztów dotacji oświatowej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przychody z tytułu usług geodezyjno-kartograficznych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opłaty za odpady komunalne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02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inne ( z tyt. wydania legitymacji, zaświadczeń, z tyt. egzaminów, z tyt. licencji przewozowych)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168,82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</w:tr>
      <w:tr w:rsidR="00A81C6E">
        <w:trPr>
          <w:trHeight w:val="202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Razem: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109 913,96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72 271,80</w:t>
            </w:r>
          </w:p>
        </w:tc>
      </w:tr>
    </w:tbl>
    <w:p w:rsidR="00A81C6E" w:rsidRDefault="00466A6E">
      <w:pPr>
        <w:spacing w:after="0"/>
        <w:ind w:right="5812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Obroty roku </w:t>
      </w:r>
      <w:r>
        <w:br w:type="page"/>
      </w:r>
    </w:p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II.2.5.b. Struktura kosztów usług obcych </w:t>
      </w:r>
    </w:p>
    <w:tbl>
      <w:tblPr>
        <w:tblStyle w:val="TableGrid"/>
        <w:tblW w:w="7152" w:type="dxa"/>
        <w:tblInd w:w="-28" w:type="dxa"/>
        <w:tblCellMar>
          <w:top w:w="0" w:type="dxa"/>
          <w:left w:w="2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559"/>
        <w:gridCol w:w="2062"/>
        <w:gridCol w:w="1532"/>
      </w:tblGrid>
      <w:tr w:rsidR="00A81C6E">
        <w:trPr>
          <w:trHeight w:val="437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Usługi obce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Obroty roku poprzedniego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Obroty roku bieżącego</w:t>
            </w:r>
          </w:p>
        </w:tc>
      </w:tr>
      <w:tr w:rsidR="00A81C6E">
        <w:trPr>
          <w:trHeight w:val="413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Zakup usług remontowych  § 427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70 027,00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31 026,50</w:t>
            </w:r>
          </w:p>
        </w:tc>
      </w:tr>
      <w:tr w:rsidR="00A81C6E">
        <w:trPr>
          <w:trHeight w:val="41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Zakup usług zdrowotnych § 428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1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Zakup usług pozostałych § 430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38 087,28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34 331,16</w:t>
            </w:r>
          </w:p>
        </w:tc>
      </w:tr>
      <w:tr w:rsidR="00A81C6E">
        <w:trPr>
          <w:trHeight w:val="41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Zakup usług przez jednostki s. terytorialnego od innych jednostek s. terytorialnego § 433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560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Zakup usług remontowo-konserwatorskich dotyczących obiektów zabytkowych będących w użytkowaniu jednostek budżetowych § 434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1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Opłaty z tytułu zakupu usług telekomunikacyjnych § 436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1 929,17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1 592,38</w:t>
            </w:r>
          </w:p>
        </w:tc>
      </w:tr>
      <w:tr w:rsidR="00A81C6E">
        <w:trPr>
          <w:trHeight w:val="41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Zakup usług obejmujących tłumaczenia § 438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1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Zakup usług obejmujących wykonanie ekspertyz, analiz i opinii  § 439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1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Opłaty za administrowanie i czynsze za budynki, lokale i pomieszczenia garażowe § 440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58 726,98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58 002,82</w:t>
            </w:r>
          </w:p>
        </w:tc>
      </w:tr>
      <w:tr w:rsidR="00A81C6E">
        <w:trPr>
          <w:trHeight w:val="413"/>
        </w:trPr>
        <w:tc>
          <w:tcPr>
            <w:tcW w:w="3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Inne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90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Razem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168 770,43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124 952,86</w:t>
            </w:r>
          </w:p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II. 2.5.c. Pozostałe przychody operacyjne </w:t>
      </w:r>
    </w:p>
    <w:tbl>
      <w:tblPr>
        <w:tblStyle w:val="TableGrid"/>
        <w:tblW w:w="10203" w:type="dxa"/>
        <w:tblInd w:w="-28" w:type="dxa"/>
        <w:tblCellMar>
          <w:top w:w="12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7152"/>
        <w:gridCol w:w="1668"/>
        <w:gridCol w:w="1383"/>
      </w:tblGrid>
      <w:tr w:rsidR="00A81C6E">
        <w:trPr>
          <w:trHeight w:val="387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Pozostałe przychody operacyjne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Obroty roku poprzedniego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Obroty roku bieżącego</w:t>
            </w:r>
          </w:p>
        </w:tc>
      </w:tr>
      <w:tr w:rsidR="00A81C6E">
        <w:trPr>
          <w:trHeight w:val="269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Zysk ze zbycia niefinansowych aktywów trwałych, w tym: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69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sprzedaż lokali lub nieruchomości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sprzedaż pozostałych składników majątkowych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opłaty z tyt. przekształcenia  wieczystego gruntów w prawo własności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Dotacje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0,00</w:t>
            </w:r>
          </w:p>
        </w:tc>
      </w:tr>
      <w:tr w:rsidR="00A81C6E">
        <w:trPr>
          <w:trHeight w:val="269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Inne przychody operacyjne, w tym: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1 044,00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37 050,63</w:t>
            </w:r>
          </w:p>
        </w:tc>
      </w:tr>
      <w:tr w:rsidR="00A81C6E">
        <w:trPr>
          <w:trHeight w:val="269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opłaty za dzierżawę, najem nie związane z działalnością statutową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opłaty za wyżywienie nie związane z działalnością statutową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kary umowne, odszkodowania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odpisane przedawnione, nieściągnięte, umorzone zobowiązania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darowizny, nieodpłatnie otrzymane rzeczowe aktywa obrotowe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800,00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A81C6E" w:rsidRDefault="00A81C6E"/>
        </w:tc>
      </w:tr>
      <w:tr w:rsidR="00A81C6E">
        <w:trPr>
          <w:trHeight w:val="269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rozwiązanie odpisu aktualizującego wartość należności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69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rozwiązanie rezerw na zobowiązania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58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rozwiązanie odpisów aktualizujących śr. trwałych, śr. trwałych w budowie oraz wartości niematerialnych i prawnych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752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równowartość odpisów amortyzacyjnych od śr. trwałych oraz wartości niematerialnych i prawnych otrzymanych nieodpłatnie przez samorządowy za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kład budżetowy, a także od środków trwałych oraz wartości niematerialnych i prawnych, na sfinansowanie których samorządowy zakład budżetowy otrzymał śr. pieniężne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862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 w:line="265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inne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 (zwroty kosztów sądowych, komorniczych lub zastępstwa procesowego, wynagrodzenie dla płatnika za terminową zapłatę, opłaty za ksero, przychody z tyt. zaokrąglenia podatków m. in. podatku VAT, zwroty VAT z lat. </w:t>
            </w:r>
          </w:p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ub., zwroty kosztów upomnienia, nadwyżki inw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entar., sprzedaż złomu, makulatury, sprzedaż materiałów przetargowych, opłata za wyrejestrowanie pojazdu itp.)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244,00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ind w:right="27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37 050,63</w:t>
            </w:r>
          </w:p>
        </w:tc>
      </w:tr>
      <w:tr w:rsidR="00A81C6E">
        <w:trPr>
          <w:trHeight w:val="202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1 044,00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37 050,63</w:t>
            </w:r>
          </w:p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>II.2.5.d. Pozostałe koszty operacyjne</w:t>
      </w:r>
    </w:p>
    <w:tbl>
      <w:tblPr>
        <w:tblStyle w:val="TableGrid"/>
        <w:tblW w:w="10203" w:type="dxa"/>
        <w:tblInd w:w="-28" w:type="dxa"/>
        <w:tblCellMar>
          <w:top w:w="10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7152"/>
        <w:gridCol w:w="1668"/>
        <w:gridCol w:w="1383"/>
      </w:tblGrid>
      <w:tr w:rsidR="00A81C6E">
        <w:trPr>
          <w:trHeight w:val="387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Pozostałe koszty operacyjne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Obroty roku poprzedniego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Obroty roku bieżącego</w:t>
            </w:r>
          </w:p>
        </w:tc>
      </w:tr>
      <w:tr w:rsidR="00A81C6E">
        <w:trPr>
          <w:trHeight w:val="458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Koszty inwestycji finansowych ze środków własnych samorządowych zakładów budżetowych i dochodów jednostek budżetowych gromadzonych na wydzielonym rachunku (§ 607, § 608)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202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Pozostałe koszty operacyjne, w tym: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20,63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Odpisy należności przedawnionych, umorzonych, nieściągalnych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Aktualizacja wartości aktywów niefinansowych, w tym: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324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utworzenie odpisów aktual. śr. trwałych, śr. trwałych w budowie oraz wartości niematerialnych i prawnych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odpis aktualizujący wartość nieruchomości inwestycyjnych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odpis aktualizujący wartość należności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umorzenie zaległości podatkowych w ramach pomocy publicznej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Inne koszty operacyjne, w tym: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20,63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 tyt. zaokrąglenia podatków ( w szczególności VAT)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utworzonych rezerw na zobowiązania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zapłacone odszkodowania, kary i grzywny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197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nieodpłatnie przekazane rzeczowe aktywa obrotowe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614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inne koszty operacyjne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 (koszty postępowania sądowego, egzekucyjnego lub komorniczego, opłaty notarialne, skarbowe,  niedobory inwentaryzacyjne uznane za niezawinione, odszkodowania w spawach o roszczenia ze stosunku pracy, zwrot dotacji z lat ubiegłych, itp..)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20,63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02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Razem: 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20,63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</w:tbl>
    <w:p w:rsidR="00A81C6E" w:rsidRDefault="00466A6E">
      <w:r>
        <w:br w:type="page"/>
      </w:r>
    </w:p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>II.2.5.e. Przychody finansowe</w:t>
      </w:r>
    </w:p>
    <w:tbl>
      <w:tblPr>
        <w:tblStyle w:val="TableGrid"/>
        <w:tblW w:w="10203" w:type="dxa"/>
        <w:tblInd w:w="-28" w:type="dxa"/>
        <w:tblCellMar>
          <w:top w:w="12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7152"/>
        <w:gridCol w:w="1668"/>
        <w:gridCol w:w="1383"/>
      </w:tblGrid>
      <w:tr w:rsidR="00A81C6E">
        <w:trPr>
          <w:trHeight w:val="454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Obroty roku poprzedniego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Obroty roku bieżącego</w:t>
            </w:r>
          </w:p>
        </w:tc>
      </w:tr>
      <w:tr w:rsidR="00A81C6E">
        <w:trPr>
          <w:trHeight w:val="480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Dywidendy i udziały w zyskach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80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Odsetki, w tym: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27,96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11,34</w:t>
            </w:r>
          </w:p>
        </w:tc>
      </w:tr>
      <w:tr w:rsidR="00A81C6E">
        <w:trPr>
          <w:trHeight w:val="480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odsetki za zwłokę w zapłacie należności, odsetki od rat kapitałowych i zaległości w spłacie należności z tyt. wykupu lokali użytkowych,  odsetki ustawowe z wyroków sądowych, odsetki od należności podatkowych itp.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481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odsetki bankowe od środków na rachunku bankowym, odsetki od lokat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27,96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11,34</w:t>
            </w:r>
          </w:p>
        </w:tc>
      </w:tr>
      <w:tr w:rsidR="00A81C6E">
        <w:trPr>
          <w:trHeight w:val="480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Inne, w tym: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480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zysk na sprzedaży udziałów i akcji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480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dodatnie różnice kursowe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480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rozwiązanie odpisów aktualizujących odsetki od należności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480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rozwiązanie lub zmniejszenie odpisów aktualizujących wartość długoterminowych aktywów finansowych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480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umorzone zobowiązania z tytułu kredytów i pożyczek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80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rozwiązanie niewykorzystanych rezerw na odsetki z tyt. spraw sądowych lub odsetek z tyt. zobowiązań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480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pozostałe przychody finansowe.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trHeight w:val="202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Razem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27,96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11,34</w:t>
            </w:r>
          </w:p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II.2.5.f. Koszty finansowe </w:t>
      </w:r>
    </w:p>
    <w:tbl>
      <w:tblPr>
        <w:tblStyle w:val="TableGrid"/>
        <w:tblW w:w="10203" w:type="dxa"/>
        <w:tblInd w:w="-28" w:type="dxa"/>
        <w:tblCellMar>
          <w:top w:w="19" w:type="dxa"/>
          <w:left w:w="2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7152"/>
        <w:gridCol w:w="1668"/>
        <w:gridCol w:w="1383"/>
      </w:tblGrid>
      <w:tr w:rsidR="00A81C6E">
        <w:trPr>
          <w:trHeight w:val="387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Obroty roku poprzedniego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Obroty roku bieżącego</w:t>
            </w:r>
          </w:p>
        </w:tc>
      </w:tr>
      <w:tr w:rsidR="00A81C6E">
        <w:trPr>
          <w:trHeight w:val="346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Odsetki, w tym: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346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odsetki od kredytów i pożyczek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46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odsetki od zobowiązań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46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Inne, w tym:          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  <w:tr w:rsidR="00A81C6E">
        <w:trPr>
          <w:trHeight w:val="346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korekty podatków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46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korekty błędnych naliczeń odpłatności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46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ujemne różnice kursowe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46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utworzenie odpisu aktualizującego wartość długoterminowych aktywów finansowych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46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utworzenie odpisu aktualizującego wartość odsetek od należności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46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utworzenie rezerw na sprawy sądowe z tyt. odsetek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46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umorzenie odsetek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46"/>
        </w:trPr>
        <w:tc>
          <w:tcPr>
            <w:tcW w:w="71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pozostałe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3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202"/>
        </w:trPr>
        <w:tc>
          <w:tcPr>
            <w:tcW w:w="7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0,00</w:t>
            </w:r>
          </w:p>
        </w:tc>
      </w:tr>
    </w:tbl>
    <w:p w:rsidR="00A81C6E" w:rsidRDefault="00466A6E">
      <w:pPr>
        <w:pStyle w:val="Nagwek2"/>
        <w:ind w:left="5"/>
        <w:jc w:val="left"/>
      </w:pPr>
      <w:r>
        <w:rPr>
          <w:rFonts w:ascii="Times New Roman" w:eastAsia="Times New Roman" w:hAnsi="Times New Roman" w:cs="Times New Roman"/>
          <w:sz w:val="18"/>
        </w:rPr>
        <w:t>II.2.5.g. Istotne transakcje z podmiotami powiązanymi</w:t>
      </w:r>
    </w:p>
    <w:p w:rsidR="00A81C6E" w:rsidRDefault="00466A6E">
      <w:pPr>
        <w:spacing w:after="437"/>
        <w:ind w:left="-48"/>
      </w:pPr>
      <w:r>
        <w:rPr>
          <w:noProof/>
        </w:rPr>
        <w:drawing>
          <wp:inline distT="0" distB="0" distL="0" distR="0">
            <wp:extent cx="6501384" cy="5791201"/>
            <wp:effectExtent l="0" t="0" r="0" b="0"/>
            <wp:docPr id="83489" name="Picture 83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89" name="Picture 8348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01384" cy="579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6E" w:rsidRDefault="00466A6E">
      <w:pPr>
        <w:spacing w:after="3" w:line="261" w:lineRule="auto"/>
        <w:ind w:left="-3" w:right="5490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II.3. Inne informacje niż wymienione powyżej, jeżeli mogłyby w istotny sposób wpłynąć na ocenę sytuacji majątkowej i finansowej oraz wynik finansowy jednostki </w:t>
      </w:r>
    </w:p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 xml:space="preserve">II.3.1. Informacja o stanie zatrudnienia </w:t>
      </w:r>
      <w:r>
        <w:rPr>
          <w:rFonts w:ascii="Times New Roman" w:eastAsia="Times New Roman" w:hAnsi="Times New Roman" w:cs="Times New Roman"/>
          <w:sz w:val="17"/>
        </w:rPr>
        <w:t>(osoby)</w:t>
      </w:r>
    </w:p>
    <w:tbl>
      <w:tblPr>
        <w:tblStyle w:val="TableGrid"/>
        <w:tblW w:w="7152" w:type="dxa"/>
        <w:tblInd w:w="-28" w:type="dxa"/>
        <w:tblCellMar>
          <w:top w:w="15" w:type="dxa"/>
          <w:left w:w="2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559"/>
        <w:gridCol w:w="2062"/>
        <w:gridCol w:w="1532"/>
      </w:tblGrid>
      <w:tr w:rsidR="00A81C6E">
        <w:trPr>
          <w:trHeight w:val="768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Wyszczególnienie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A81C6E" w:rsidRDefault="00466A6E">
            <w:pPr>
              <w:spacing w:after="0"/>
              <w:ind w:left="110" w:hanging="2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Stan zatrudnienia na koniec  roku poprzedniego (osoby)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A81C6E" w:rsidRDefault="00466A6E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Stan zatrudnienia na koniec </w:t>
            </w:r>
          </w:p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roku obrotowego (osoby)</w:t>
            </w:r>
          </w:p>
        </w:tc>
      </w:tr>
      <w:tr w:rsidR="00A81C6E">
        <w:trPr>
          <w:trHeight w:val="593"/>
        </w:trPr>
        <w:tc>
          <w:tcPr>
            <w:tcW w:w="3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Pracownicy ogółem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23,00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>20,00</w:t>
            </w:r>
          </w:p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>II.3.2. Informacje o znaczących zdarzeniach dotyczących lat ubiegłych  ujętych w sprawozdaniu finansowym roku obrotowego</w:t>
      </w:r>
    </w:p>
    <w:tbl>
      <w:tblPr>
        <w:tblStyle w:val="TableGrid"/>
        <w:tblW w:w="8820" w:type="dxa"/>
        <w:tblInd w:w="-28" w:type="dxa"/>
        <w:tblCellMar>
          <w:top w:w="47" w:type="dxa"/>
          <w:left w:w="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777"/>
        <w:gridCol w:w="144"/>
        <w:gridCol w:w="1637"/>
        <w:gridCol w:w="2062"/>
        <w:gridCol w:w="1532"/>
        <w:gridCol w:w="1668"/>
      </w:tblGrid>
      <w:tr w:rsidR="00A81C6E">
        <w:trPr>
          <w:trHeight w:val="768"/>
        </w:trPr>
        <w:tc>
          <w:tcPr>
            <w:tcW w:w="1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L.p.</w:t>
            </w:r>
          </w:p>
        </w:tc>
        <w:tc>
          <w:tcPr>
            <w:tcW w:w="1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A81C6E"/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Opis zdarzenia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Kwota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 w:line="26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Przyczyna ujęcia w sprawozdaniu </w:t>
            </w:r>
          </w:p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finansowym roku obrotowego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Wpływ na sprawozdanie finansowe</w:t>
            </w:r>
          </w:p>
        </w:tc>
      </w:tr>
      <w:tr w:rsidR="00A81C6E">
        <w:trPr>
          <w:trHeight w:val="302"/>
        </w:trPr>
        <w:tc>
          <w:tcPr>
            <w:tcW w:w="17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4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1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1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1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4.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3"/>
        </w:trPr>
        <w:tc>
          <w:tcPr>
            <w:tcW w:w="1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5.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1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6.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17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7.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trHeight w:val="302"/>
        </w:trPr>
        <w:tc>
          <w:tcPr>
            <w:tcW w:w="17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81C6E" w:rsidRDefault="00A81C6E"/>
        </w:tc>
        <w:tc>
          <w:tcPr>
            <w:tcW w:w="14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8.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</w:tbl>
    <w:p w:rsidR="00A81C6E" w:rsidRDefault="00466A6E">
      <w:pPr>
        <w:spacing w:after="3" w:line="261" w:lineRule="auto"/>
        <w:ind w:left="-3" w:right="882" w:hanging="10"/>
      </w:pPr>
      <w:r>
        <w:rPr>
          <w:rFonts w:ascii="Times New Roman" w:eastAsia="Times New Roman" w:hAnsi="Times New Roman" w:cs="Times New Roman"/>
          <w:b/>
          <w:sz w:val="17"/>
        </w:rPr>
        <w:t>II.3.3. Informacje o znaczących zdarzeniach jakie nastąpiły po dniu bilansowym a nieuwzględnionych w sprawozdaniu finansowym</w:t>
      </w:r>
    </w:p>
    <w:tbl>
      <w:tblPr>
        <w:tblStyle w:val="TableGrid"/>
        <w:tblW w:w="8820" w:type="dxa"/>
        <w:tblInd w:w="-28" w:type="dxa"/>
        <w:tblCellMar>
          <w:top w:w="9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03"/>
        <w:gridCol w:w="1674"/>
        <w:gridCol w:w="144"/>
        <w:gridCol w:w="191"/>
        <w:gridCol w:w="1446"/>
        <w:gridCol w:w="2062"/>
        <w:gridCol w:w="1532"/>
        <w:gridCol w:w="248"/>
        <w:gridCol w:w="1420"/>
        <w:gridCol w:w="2078"/>
      </w:tblGrid>
      <w:tr w:rsidR="00A81C6E">
        <w:trPr>
          <w:gridAfter w:val="1"/>
          <w:wAfter w:w="2078" w:type="dxa"/>
          <w:trHeight w:val="900"/>
        </w:trPr>
        <w:tc>
          <w:tcPr>
            <w:tcW w:w="1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1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1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A81C6E"/>
        </w:tc>
        <w:tc>
          <w:tcPr>
            <w:tcW w:w="1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Opis zdarzenia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Kwota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A81C6E" w:rsidRDefault="00466A6E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Przyczyna nieuwzględnienia </w:t>
            </w:r>
          </w:p>
          <w:p w:rsidR="00A81C6E" w:rsidRDefault="00466A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 sprawozdaniu finansowym 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A81C6E" w:rsidRDefault="00466A6E">
            <w:pPr>
              <w:spacing w:after="0" w:line="26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Wpływ na sprawozdanie </w:t>
            </w:r>
          </w:p>
          <w:p w:rsidR="00A81C6E" w:rsidRDefault="00466A6E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finansowe</w:t>
            </w:r>
          </w:p>
        </w:tc>
      </w:tr>
      <w:tr w:rsidR="00A81C6E">
        <w:trPr>
          <w:gridAfter w:val="1"/>
          <w:wAfter w:w="2078" w:type="dxa"/>
          <w:trHeight w:val="290"/>
        </w:trPr>
        <w:tc>
          <w:tcPr>
            <w:tcW w:w="1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4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</w:t>
            </w:r>
          </w:p>
        </w:tc>
        <w:tc>
          <w:tcPr>
            <w:tcW w:w="1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gridAfter w:val="1"/>
          <w:wAfter w:w="2078" w:type="dxa"/>
          <w:trHeight w:val="290"/>
        </w:trPr>
        <w:tc>
          <w:tcPr>
            <w:tcW w:w="17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2.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gridAfter w:val="1"/>
          <w:wAfter w:w="2078" w:type="dxa"/>
          <w:trHeight w:val="290"/>
        </w:trPr>
        <w:tc>
          <w:tcPr>
            <w:tcW w:w="17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3.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</w:tr>
      <w:tr w:rsidR="00A81C6E">
        <w:trPr>
          <w:gridAfter w:val="1"/>
          <w:wAfter w:w="2078" w:type="dxa"/>
          <w:trHeight w:val="290"/>
        </w:trPr>
        <w:tc>
          <w:tcPr>
            <w:tcW w:w="17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A81C6E" w:rsidRDefault="00A81C6E"/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4.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gridAfter w:val="1"/>
          <w:wAfter w:w="2078" w:type="dxa"/>
          <w:trHeight w:val="291"/>
        </w:trPr>
        <w:tc>
          <w:tcPr>
            <w:tcW w:w="17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5.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6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gridAfter w:val="1"/>
          <w:wAfter w:w="2078" w:type="dxa"/>
          <w:trHeight w:val="290"/>
        </w:trPr>
        <w:tc>
          <w:tcPr>
            <w:tcW w:w="17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81C6E" w:rsidRDefault="00A81C6E"/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6.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gridAfter w:val="1"/>
          <w:wAfter w:w="2078" w:type="dxa"/>
          <w:trHeight w:val="290"/>
        </w:trPr>
        <w:tc>
          <w:tcPr>
            <w:tcW w:w="17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A81C6E" w:rsidRDefault="00A81C6E"/>
        </w:tc>
        <w:tc>
          <w:tcPr>
            <w:tcW w:w="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7.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6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rPr>
          <w:gridAfter w:val="1"/>
          <w:wAfter w:w="2078" w:type="dxa"/>
          <w:trHeight w:val="290"/>
        </w:trPr>
        <w:tc>
          <w:tcPr>
            <w:tcW w:w="17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81C6E" w:rsidRDefault="00A81C6E"/>
        </w:tc>
        <w:tc>
          <w:tcPr>
            <w:tcW w:w="14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81C6E" w:rsidRDefault="00466A6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8.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1C6E" w:rsidRDefault="00A81C6E"/>
        </w:tc>
        <w:tc>
          <w:tcPr>
            <w:tcW w:w="1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  <w:tc>
          <w:tcPr>
            <w:tcW w:w="16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1C6E" w:rsidRDefault="00A81C6E"/>
        </w:tc>
      </w:tr>
      <w:tr w:rsidR="00A81C6E">
        <w:tblPrEx>
          <w:tblCellMar>
            <w:top w:w="0" w:type="dxa"/>
            <w:right w:w="0" w:type="dxa"/>
          </w:tblCellMar>
        </w:tblPrEx>
        <w:trPr>
          <w:gridBefore w:val="1"/>
          <w:wBefore w:w="103" w:type="dxa"/>
          <w:trHeight w:val="400"/>
        </w:trPr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C6E" w:rsidRDefault="00466A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>......................................</w:t>
            </w:r>
          </w:p>
          <w:p w:rsidR="00A81C6E" w:rsidRDefault="00466A6E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7"/>
              </w:rPr>
              <w:t>(główny księgowy)</w:t>
            </w:r>
          </w:p>
        </w:tc>
        <w:tc>
          <w:tcPr>
            <w:tcW w:w="5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C6E" w:rsidRDefault="00466A6E">
            <w:pPr>
              <w:spacing w:after="0"/>
              <w:ind w:left="2521" w:right="139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23.03.2021 (rok, miesiąc, dzień)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C6E" w:rsidRDefault="00466A6E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..................................</w:t>
            </w:r>
          </w:p>
          <w:p w:rsidR="00A81C6E" w:rsidRDefault="00466A6E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>(kierownik jednostki)</w:t>
            </w:r>
          </w:p>
        </w:tc>
      </w:tr>
    </w:tbl>
    <w:p w:rsidR="00000000" w:rsidRDefault="00466A6E"/>
    <w:sectPr w:rsidR="0000000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4" w:h="11904" w:orient="landscape"/>
      <w:pgMar w:top="1259" w:right="861" w:bottom="309" w:left="298" w:header="458" w:footer="4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6A6E">
      <w:pPr>
        <w:spacing w:after="0" w:line="240" w:lineRule="auto"/>
      </w:pPr>
      <w:r>
        <w:separator/>
      </w:r>
    </w:p>
  </w:endnote>
  <w:endnote w:type="continuationSeparator" w:id="0">
    <w:p w:rsidR="00000000" w:rsidRDefault="0046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A81C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A81C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A81C6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466A6E">
    <w:pPr>
      <w:spacing w:after="0"/>
      <w:ind w:right="-48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A81C6E" w:rsidRDefault="00466A6E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Wprowadzenie oraz dodatkowe informacje i objaśnienia stanowią integralną część sprawozdania finansowego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466A6E">
    <w:pPr>
      <w:spacing w:after="0"/>
      <w:ind w:right="-48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A81C6E" w:rsidRDefault="00466A6E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Wprowadzenie oraz dodatkowe informacje i objaśnienia stanowią integralną część sprawozdania finansowego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466A6E">
    <w:pPr>
      <w:spacing w:after="0"/>
      <w:ind w:right="-48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A81C6E" w:rsidRDefault="00466A6E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Wprowadzenie oraz dodatkowe informacje i objaśnienia stanowią integralną część sprawozdania finansowego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466A6E">
    <w:pPr>
      <w:spacing w:after="0"/>
      <w:ind w:left="529"/>
      <w:jc w:val="center"/>
    </w:pPr>
    <w:r>
      <w:rPr>
        <w:rFonts w:ascii="Arial" w:eastAsia="Arial" w:hAnsi="Arial" w:cs="Arial"/>
        <w:sz w:val="15"/>
      </w:rPr>
      <w:t>Wprowadzenie oraz dodatkowe  informacje i objaśnienia stanowią integralną część sprawozdania finansowego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466A6E">
    <w:pPr>
      <w:spacing w:after="0"/>
      <w:ind w:left="529"/>
      <w:jc w:val="center"/>
    </w:pPr>
    <w:r>
      <w:rPr>
        <w:rFonts w:ascii="Arial" w:eastAsia="Arial" w:hAnsi="Arial" w:cs="Arial"/>
        <w:sz w:val="15"/>
      </w:rPr>
      <w:t>Wprowadzenie oraz dodatkowe  informacje i objaśnienia stanowią integralną część sprawozdania finansowego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466A6E">
    <w:pPr>
      <w:spacing w:after="0"/>
      <w:ind w:left="529"/>
      <w:jc w:val="center"/>
    </w:pPr>
    <w:r>
      <w:rPr>
        <w:rFonts w:ascii="Arial" w:eastAsia="Arial" w:hAnsi="Arial" w:cs="Arial"/>
        <w:sz w:val="15"/>
      </w:rPr>
      <w:t>Wprowadzenie ora</w:t>
    </w:r>
    <w:r>
      <w:rPr>
        <w:rFonts w:ascii="Arial" w:eastAsia="Arial" w:hAnsi="Arial" w:cs="Arial"/>
        <w:sz w:val="15"/>
      </w:rPr>
      <w:t>z dodatkowe  informacje i objaśnienia stanowią integralną część sprawozdania finansowego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6A6E">
      <w:pPr>
        <w:spacing w:after="0" w:line="240" w:lineRule="auto"/>
      </w:pPr>
      <w:r>
        <w:separator/>
      </w:r>
    </w:p>
  </w:footnote>
  <w:footnote w:type="continuationSeparator" w:id="0">
    <w:p w:rsidR="00000000" w:rsidRDefault="0046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A81C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A81C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A81C6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466A6E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1283462</wp:posOffset>
              </wp:positionV>
              <wp:extent cx="5769229" cy="9144"/>
              <wp:effectExtent l="0" t="0" r="0" b="0"/>
              <wp:wrapSquare wrapText="bothSides"/>
              <wp:docPr id="83607" name="Group 83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9144"/>
                        <a:chOff x="0" y="0"/>
                        <a:chExt cx="5769229" cy="9144"/>
                      </a:xfrm>
                    </wpg:grpSpPr>
                    <wps:wsp>
                      <wps:cNvPr id="89395" name="Shape 89395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2B231C" id="Group 83607" o:spid="_x0000_s1026" style="position:absolute;margin-left:83.65pt;margin-top:101.05pt;width:454.25pt;height:.7pt;z-index:251658240;mso-position-horizontal-relative:page;mso-position-vertical-relative:page" coordsize="576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">
              <v:shape id="Shape 89395" o:spid="_x0000_s1027" style="position:absolute;width:57692;height:91;visibility:visible;mso-wrap-style:square;v-text-anchor:top" coordsize="5769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GJsgA&#10;AADeAAAADwAAAGRycy9kb3ducmV2LnhtbESPQWvCQBSE74L/YXlCL6VutNRqzCpS09JDD1al50f2&#10;mYRk38bsGuO/7xYKHoeZ+YZJ1r2pRUetKy0rmIwjEMSZ1SXnCo6H96c5COeRNdaWScGNHKxXw0GC&#10;sbZX/qZu73MRIOxiVFB438RSuqwgg25sG+LgnWxr0AfZ5lK3eA1wU8tpFM2kwZLDQoENvRWUVfuL&#10;UZDS48fPdFfR4fjqJ9tzRLevlJR6GPWbJQhPvb+H/9ufWsF88bx4gb874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lIYmyAAAAN4AAAAPAAAAAAAAAAAAAAAAAJgCAABk&#10;cnMvZG93bnJldi54bWxQSwUGAAAAAAQABAD1AAAAjQMAAAAA&#10;" path="m,l5769229,r,9144l,9144,,e" fillcolor="black" stroked="f" strokeweight="0">
                <v:stroke miterlimit="83231f" joinstyle="miter"/>
                <v:path arrowok="t" textboxrect="0,0,5769229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8"/>
      </w:rPr>
      <w:t xml:space="preserve">Przedszkole Nr 26 </w:t>
    </w:r>
  </w:p>
  <w:p w:rsidR="00A81C6E" w:rsidRDefault="00466A6E">
    <w:pPr>
      <w:spacing w:after="6" w:line="238" w:lineRule="auto"/>
      <w:ind w:right="293"/>
    </w:pPr>
    <w:r>
      <w:rPr>
        <w:rFonts w:ascii="Times New Roman" w:eastAsia="Times New Roman" w:hAnsi="Times New Roman" w:cs="Times New Roman"/>
        <w:b/>
        <w:sz w:val="24"/>
      </w:rPr>
      <w:t>Informacja dodatkowa do sprawozdania finansowego za rok obrotowy zakończony 31 grudnia 2</w:t>
    </w:r>
    <w:r>
      <w:rPr>
        <w:rFonts w:ascii="Times New Roman" w:eastAsia="Times New Roman" w:hAnsi="Times New Roman" w:cs="Times New Roman"/>
        <w:b/>
        <w:sz w:val="24"/>
      </w:rPr>
      <w:t xml:space="preserve">020 r. </w:t>
    </w:r>
  </w:p>
  <w:p w:rsidR="00A81C6E" w:rsidRDefault="00466A6E">
    <w:pPr>
      <w:spacing w:after="7"/>
    </w:pPr>
    <w:r>
      <w:rPr>
        <w:rFonts w:ascii="Times New Roman" w:eastAsia="Times New Roman" w:hAnsi="Times New Roman" w:cs="Times New Roman"/>
        <w:b/>
        <w:sz w:val="24"/>
      </w:rPr>
      <w:t>I.</w:t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 xml:space="preserve">Wprowadzenie do sprawozdania finansowego </w:t>
    </w:r>
  </w:p>
  <w:p w:rsidR="00A81C6E" w:rsidRDefault="00466A6E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466A6E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1283462</wp:posOffset>
              </wp:positionV>
              <wp:extent cx="5769229" cy="9144"/>
              <wp:effectExtent l="0" t="0" r="0" b="0"/>
              <wp:wrapSquare wrapText="bothSides"/>
              <wp:docPr id="83557" name="Group 83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9144"/>
                        <a:chOff x="0" y="0"/>
                        <a:chExt cx="5769229" cy="9144"/>
                      </a:xfrm>
                    </wpg:grpSpPr>
                    <wps:wsp>
                      <wps:cNvPr id="89394" name="Shape 89394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B38D5C" id="Group 83557" o:spid="_x0000_s1026" style="position:absolute;margin-left:83.65pt;margin-top:101.05pt;width:454.25pt;height:.7pt;z-index:251659264;mso-position-horizontal-relative:page;mso-position-vertical-relative:page" coordsize="576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">
              <v:shape id="Shape 89394" o:spid="_x0000_s1027" style="position:absolute;width:57692;height:91;visibility:visible;mso-wrap-style:square;v-text-anchor:top" coordsize="5769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gjvcgA&#10;AADeAAAADwAAAGRycy9kb3ducmV2LnhtbESPQWvCQBSE74L/YXlCL6VutMVqzCpS09JDD1al50f2&#10;mYRk38bsGuO/7xYKHoeZ+YZJ1r2pRUetKy0rmIwjEMSZ1SXnCo6H96c5COeRNdaWScGNHKxXw0GC&#10;sbZX/qZu73MRIOxiVFB438RSuqwgg25sG+LgnWxr0AfZ5lK3eA1wU8tpFM2kwZLDQoENvRWUVfuL&#10;UZDS48fPdFfR4fjqJ9tzRLevlJR6GPWbJQhPvb+H/9ufWsF88bx4gb874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2CO9yAAAAN4AAAAPAAAAAAAAAAAAAAAAAJgCAABk&#10;cnMvZG93bnJldi54bWxQSwUGAAAAAAQABAD1AAAAjQMAAAAA&#10;" path="m,l5769229,r,9144l,9144,,e" fillcolor="black" stroked="f" strokeweight="0">
                <v:stroke miterlimit="83231f" joinstyle="miter"/>
                <v:path arrowok="t" textboxrect="0,0,5769229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8"/>
      </w:rPr>
      <w:t xml:space="preserve">Przedszkole Nr 26 </w:t>
    </w:r>
  </w:p>
  <w:p w:rsidR="00A81C6E" w:rsidRDefault="00466A6E">
    <w:pPr>
      <w:spacing w:after="6" w:line="238" w:lineRule="auto"/>
      <w:ind w:right="293"/>
    </w:pPr>
    <w:r>
      <w:rPr>
        <w:rFonts w:ascii="Times New Roman" w:eastAsia="Times New Roman" w:hAnsi="Times New Roman" w:cs="Times New Roman"/>
        <w:b/>
        <w:sz w:val="24"/>
      </w:rPr>
      <w:t xml:space="preserve">Informacja dodatkowa do sprawozdania finansowego za rok obrotowy zakończony 31 grudnia 2020 r. </w:t>
    </w:r>
  </w:p>
  <w:p w:rsidR="00A81C6E" w:rsidRDefault="00466A6E">
    <w:pPr>
      <w:spacing w:after="7"/>
    </w:pPr>
    <w:r>
      <w:rPr>
        <w:rFonts w:ascii="Times New Roman" w:eastAsia="Times New Roman" w:hAnsi="Times New Roman" w:cs="Times New Roman"/>
        <w:b/>
        <w:sz w:val="24"/>
      </w:rPr>
      <w:t>I.</w:t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 xml:space="preserve">Wprowadzenie do sprawozdania finansowego </w:t>
    </w:r>
  </w:p>
  <w:p w:rsidR="00A81C6E" w:rsidRDefault="00466A6E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466A6E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1062533</wp:posOffset>
              </wp:positionH>
              <wp:positionV relativeFrom="page">
                <wp:posOffset>1283462</wp:posOffset>
              </wp:positionV>
              <wp:extent cx="5769229" cy="9144"/>
              <wp:effectExtent l="0" t="0" r="0" b="0"/>
              <wp:wrapSquare wrapText="bothSides"/>
              <wp:docPr id="83507" name="Group 83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9144"/>
                        <a:chOff x="0" y="0"/>
                        <a:chExt cx="5769229" cy="9144"/>
                      </a:xfrm>
                    </wpg:grpSpPr>
                    <wps:wsp>
                      <wps:cNvPr id="89393" name="Shape 89393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3D2146" id="Group 83507" o:spid="_x0000_s1026" style="position:absolute;margin-left:83.65pt;margin-top:101.05pt;width:454.25pt;height:.7pt;z-index:251660288;mso-position-horizontal-relative:page;mso-position-vertical-relative:page" coordsize="576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">
              <v:shape id="Shape 89393" o:spid="_x0000_s1027" style="position:absolute;width:57692;height:91;visibility:visible;mso-wrap-style:square;v-text-anchor:top" coordsize="5769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7ycYA&#10;AADeAAAADwAAAGRycy9kb3ducmV2LnhtbESPS4vCQBCE74L/YWjBi6wTFdaYdRTxhYc9rA/23GR6&#10;k2CmJ2ZGjf/eWRA8FlX1FTWdN6YUN6pdYVnBoB+BIE6tLjhTcDpuPmIQziNrLC2Tggc5mM/arSkm&#10;2t55T7eDz0SAsEtQQe59lUjp0pwMur6tiIP3Z2uDPsg6k7rGe4CbUg6j6FMaLDgs5FjRMqf0fLga&#10;BWvqbX+HP2c6nsZ+sLpE9Phek1LdTrP4AuGp8e/wq73TCuLJaDKC/zvhCsjZ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G7ycYAAADeAAAADwAAAAAAAAAAAAAAAACYAgAAZHJz&#10;L2Rvd25yZXYueG1sUEsFBgAAAAAEAAQA9QAAAIsDAAAAAA==&#10;" path="m,l5769229,r,9144l,9144,,e" fillcolor="black" stroked="f" strokeweight="0">
                <v:stroke miterlimit="83231f" joinstyle="miter"/>
                <v:path arrowok="t" textboxrect="0,0,5769229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8"/>
      </w:rPr>
      <w:t xml:space="preserve">Przedszkole Nr 26 </w:t>
    </w:r>
  </w:p>
  <w:p w:rsidR="00A81C6E" w:rsidRDefault="00466A6E">
    <w:pPr>
      <w:spacing w:after="6" w:line="238" w:lineRule="auto"/>
      <w:ind w:right="293"/>
    </w:pPr>
    <w:r>
      <w:rPr>
        <w:rFonts w:ascii="Times New Roman" w:eastAsia="Times New Roman" w:hAnsi="Times New Roman" w:cs="Times New Roman"/>
        <w:b/>
        <w:sz w:val="24"/>
      </w:rPr>
      <w:t xml:space="preserve">Informacja dodatkowa do sprawozdania finansowego za rok obrotowy zakończony 31 grudnia 2020 r. </w:t>
    </w:r>
  </w:p>
  <w:p w:rsidR="00A81C6E" w:rsidRDefault="00466A6E">
    <w:pPr>
      <w:spacing w:after="7"/>
    </w:pPr>
    <w:r>
      <w:rPr>
        <w:rFonts w:ascii="Times New Roman" w:eastAsia="Times New Roman" w:hAnsi="Times New Roman" w:cs="Times New Roman"/>
        <w:b/>
        <w:sz w:val="24"/>
      </w:rPr>
      <w:t>I.</w:t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 xml:space="preserve">Wprowadzenie do sprawozdania finansowego </w:t>
    </w:r>
  </w:p>
  <w:p w:rsidR="00A81C6E" w:rsidRDefault="00466A6E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466A6E">
    <w:pPr>
      <w:spacing w:after="5"/>
      <w:ind w:left="565"/>
      <w:jc w:val="center"/>
    </w:pPr>
    <w:r>
      <w:rPr>
        <w:rFonts w:ascii="Times New Roman" w:eastAsia="Times New Roman" w:hAnsi="Times New Roman" w:cs="Times New Roman"/>
        <w:sz w:val="15"/>
      </w:rPr>
      <w:t>Przedszkole Nr 26</w:t>
    </w:r>
  </w:p>
  <w:p w:rsidR="00A81C6E" w:rsidRDefault="00466A6E">
    <w:pPr>
      <w:spacing w:after="5"/>
      <w:ind w:left="560"/>
      <w:jc w:val="center"/>
    </w:pPr>
    <w:r>
      <w:rPr>
        <w:rFonts w:ascii="Times New Roman" w:eastAsia="Times New Roman" w:hAnsi="Times New Roman" w:cs="Times New Roman"/>
        <w:sz w:val="15"/>
      </w:rPr>
      <w:t>Informacja dodatkowa do sprawozdania finansowego za rok obrotowy zakończony 31 grudnia 2021 r.</w:t>
    </w:r>
  </w:p>
  <w:p w:rsidR="00A81C6E" w:rsidRDefault="00466A6E">
    <w:pPr>
      <w:spacing w:after="0"/>
      <w:ind w:left="565"/>
      <w:jc w:val="center"/>
    </w:pPr>
    <w:r>
      <w:rPr>
        <w:rFonts w:ascii="Times New Roman" w:eastAsia="Times New Roman" w:hAnsi="Times New Roman" w:cs="Times New Roman"/>
        <w:sz w:val="15"/>
      </w:rPr>
      <w:t>II. Dodatkowe informacje i objaśnienia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466A6E">
    <w:pPr>
      <w:spacing w:after="5"/>
      <w:ind w:left="565"/>
      <w:jc w:val="center"/>
    </w:pPr>
    <w:r>
      <w:rPr>
        <w:rFonts w:ascii="Times New Roman" w:eastAsia="Times New Roman" w:hAnsi="Times New Roman" w:cs="Times New Roman"/>
        <w:sz w:val="15"/>
      </w:rPr>
      <w:t>Przedszkole Nr 26</w:t>
    </w:r>
  </w:p>
  <w:p w:rsidR="00A81C6E" w:rsidRDefault="00466A6E">
    <w:pPr>
      <w:spacing w:after="5"/>
      <w:ind w:left="560"/>
      <w:jc w:val="center"/>
    </w:pPr>
    <w:r>
      <w:rPr>
        <w:rFonts w:ascii="Times New Roman" w:eastAsia="Times New Roman" w:hAnsi="Times New Roman" w:cs="Times New Roman"/>
        <w:sz w:val="15"/>
      </w:rPr>
      <w:t>Informacja dodatkowa do sprawozdania finansowego za rok obrotowy zakończony 31 grudnia 2021 r.</w:t>
    </w:r>
  </w:p>
  <w:p w:rsidR="00A81C6E" w:rsidRDefault="00466A6E">
    <w:pPr>
      <w:spacing w:after="0"/>
      <w:ind w:left="565"/>
      <w:jc w:val="center"/>
    </w:pPr>
    <w:r>
      <w:rPr>
        <w:rFonts w:ascii="Times New Roman" w:eastAsia="Times New Roman" w:hAnsi="Times New Roman" w:cs="Times New Roman"/>
        <w:sz w:val="15"/>
      </w:rPr>
      <w:t>II. Dodatkowe informacje i objaśnienia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6E" w:rsidRDefault="00466A6E">
    <w:pPr>
      <w:spacing w:after="5"/>
      <w:ind w:left="565"/>
      <w:jc w:val="center"/>
    </w:pPr>
    <w:r>
      <w:rPr>
        <w:rFonts w:ascii="Times New Roman" w:eastAsia="Times New Roman" w:hAnsi="Times New Roman" w:cs="Times New Roman"/>
        <w:sz w:val="15"/>
      </w:rPr>
      <w:t>Przedszkole Nr 26</w:t>
    </w:r>
  </w:p>
  <w:p w:rsidR="00A81C6E" w:rsidRDefault="00466A6E">
    <w:pPr>
      <w:spacing w:after="5"/>
      <w:ind w:left="560"/>
      <w:jc w:val="center"/>
    </w:pPr>
    <w:r>
      <w:rPr>
        <w:rFonts w:ascii="Times New Roman" w:eastAsia="Times New Roman" w:hAnsi="Times New Roman" w:cs="Times New Roman"/>
        <w:sz w:val="15"/>
      </w:rPr>
      <w:t>Informacja dodatkowa do sprawozdania finansowego za rok obrotowy zakończony 31 grudnia 2021 r.</w:t>
    </w:r>
  </w:p>
  <w:p w:rsidR="00A81C6E" w:rsidRDefault="00466A6E">
    <w:pPr>
      <w:spacing w:after="0"/>
      <w:ind w:left="565"/>
      <w:jc w:val="center"/>
    </w:pPr>
    <w:r>
      <w:rPr>
        <w:rFonts w:ascii="Times New Roman" w:eastAsia="Times New Roman" w:hAnsi="Times New Roman" w:cs="Times New Roman"/>
        <w:sz w:val="15"/>
      </w:rPr>
      <w:t>II. Dodat</w:t>
    </w:r>
    <w:r>
      <w:rPr>
        <w:rFonts w:ascii="Times New Roman" w:eastAsia="Times New Roman" w:hAnsi="Times New Roman" w:cs="Times New Roman"/>
        <w:sz w:val="15"/>
      </w:rPr>
      <w:t>kowe informacje i objaśnienia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6B9B"/>
    <w:multiLevelType w:val="multilevel"/>
    <w:tmpl w:val="B3DA33CC"/>
    <w:lvl w:ilvl="0">
      <w:start w:val="2"/>
      <w:numFmt w:val="upperRoman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.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01368D"/>
    <w:multiLevelType w:val="multilevel"/>
    <w:tmpl w:val="E3C0D9F8"/>
    <w:lvl w:ilvl="0">
      <w:start w:val="1"/>
      <w:numFmt w:val="decimal"/>
      <w:lvlText w:val="%1."/>
      <w:lvlJc w:val="left"/>
      <w:pPr>
        <w:ind w:left="91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5063F"/>
    <w:multiLevelType w:val="hybridMultilevel"/>
    <w:tmpl w:val="BE508DB2"/>
    <w:lvl w:ilvl="0" w:tplc="76201456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C16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628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AED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A21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892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25B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2CD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E6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F92AD3"/>
    <w:multiLevelType w:val="hybridMultilevel"/>
    <w:tmpl w:val="2BB4FC8A"/>
    <w:lvl w:ilvl="0" w:tplc="DAD0DC74">
      <w:start w:val="2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C268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8EB9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649D4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34D23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B8C61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EE40C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BE0FC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A12E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6E"/>
    <w:rsid w:val="00466A6E"/>
    <w:rsid w:val="00A8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584C5-B1F5-4378-88F2-A34E28E6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8" w:lineRule="auto"/>
      <w:ind w:left="100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040"/>
      <w:jc w:val="center"/>
      <w:outlineLvl w:val="1"/>
    </w:pPr>
    <w:rPr>
      <w:rFonts w:ascii="Book Antiqua" w:eastAsia="Book Antiqua" w:hAnsi="Book Antiqua" w:cs="Book Antiqua"/>
      <w:b/>
      <w:color w:val="000000"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Book Antiqua" w:eastAsia="Book Antiqua" w:hAnsi="Book Antiqua" w:cs="Book Antiqua"/>
      <w:b/>
      <w:color w:val="000000"/>
      <w:sz w:val="15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5847</Words>
  <Characters>35088</Characters>
  <Application>Microsoft Office Word</Application>
  <DocSecurity>0</DocSecurity>
  <Lines>292</Lines>
  <Paragraphs>81</Paragraphs>
  <ScaleCrop>false</ScaleCrop>
  <Company/>
  <LinksUpToDate>false</LinksUpToDate>
  <CharactersWithSpaces>40854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Borowski Mariusz</dc:creator>
  <cp:keywords/>
  <cp:lastModifiedBy>Borowski Mariusz</cp:lastModifiedBy>
  <cp:revision>2</cp:revision>
  <dcterms:created xsi:type="dcterms:W3CDTF">2021-05-07T08:15:00Z</dcterms:created>
  <dcterms:modified xsi:type="dcterms:W3CDTF">2021-05-07T08:15:00Z</dcterms:modified>
</cp:coreProperties>
</file>